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405"/>
        <w:gridCol w:w="6611"/>
      </w:tblGrid>
      <w:tr w:rsidR="00B97DAB" w14:paraId="3F32C22B" w14:textId="77777777" w:rsidTr="52D50421">
        <w:tc>
          <w:tcPr>
            <w:tcW w:w="2405" w:type="dxa"/>
          </w:tcPr>
          <w:p w14:paraId="2137C5A4" w14:textId="11B48F23" w:rsidR="00B97DAB" w:rsidRDefault="00B97DAB">
            <w:r>
              <w:t xml:space="preserve">Intervention </w:t>
            </w:r>
          </w:p>
        </w:tc>
        <w:tc>
          <w:tcPr>
            <w:tcW w:w="6611" w:type="dxa"/>
          </w:tcPr>
          <w:p w14:paraId="73A5EAEF" w14:textId="2F02A86F" w:rsidR="00B97DAB" w:rsidRPr="00191AB3" w:rsidRDefault="00BC5D73" w:rsidP="01A0723A">
            <w:pPr>
              <w:rPr>
                <w:b/>
                <w:bCs/>
                <w:lang w:val="en-US"/>
              </w:rPr>
            </w:pPr>
            <w:r w:rsidRPr="00191AB3">
              <w:rPr>
                <w:b/>
                <w:bCs/>
                <w:lang w:val="en-US"/>
              </w:rPr>
              <w:t>150. Laser</w:t>
            </w:r>
            <w:r w:rsidR="00026CD3">
              <w:rPr>
                <w:b/>
                <w:bCs/>
                <w:lang w:val="en-US"/>
              </w:rPr>
              <w:t xml:space="preserve"> or </w:t>
            </w:r>
            <w:r w:rsidR="00F07B5C">
              <w:rPr>
                <w:b/>
                <w:bCs/>
                <w:lang w:val="en-US"/>
              </w:rPr>
              <w:t>I</w:t>
            </w:r>
            <w:r w:rsidR="00026CD3">
              <w:rPr>
                <w:b/>
                <w:bCs/>
                <w:lang w:val="en-US"/>
              </w:rPr>
              <w:t xml:space="preserve">ntense </w:t>
            </w:r>
            <w:r w:rsidR="00F07B5C">
              <w:rPr>
                <w:b/>
                <w:bCs/>
                <w:lang w:val="en-US"/>
              </w:rPr>
              <w:t>P</w:t>
            </w:r>
            <w:r w:rsidR="00026CD3">
              <w:rPr>
                <w:b/>
                <w:bCs/>
                <w:lang w:val="en-US"/>
              </w:rPr>
              <w:t xml:space="preserve">ulsed </w:t>
            </w:r>
            <w:r w:rsidR="00F07B5C">
              <w:rPr>
                <w:b/>
                <w:bCs/>
                <w:lang w:val="en-US"/>
              </w:rPr>
              <w:t>L</w:t>
            </w:r>
            <w:r w:rsidR="00026CD3">
              <w:rPr>
                <w:b/>
                <w:bCs/>
                <w:lang w:val="en-US"/>
              </w:rPr>
              <w:t>ight (IPL)</w:t>
            </w:r>
            <w:r w:rsidRPr="00191AB3">
              <w:rPr>
                <w:b/>
                <w:bCs/>
                <w:lang w:val="en-US"/>
              </w:rPr>
              <w:t xml:space="preserve"> treatment</w:t>
            </w:r>
          </w:p>
        </w:tc>
      </w:tr>
      <w:tr w:rsidR="00B97DAB" w14:paraId="004828E6" w14:textId="77777777" w:rsidTr="52D50421">
        <w:tc>
          <w:tcPr>
            <w:tcW w:w="2405" w:type="dxa"/>
          </w:tcPr>
          <w:p w14:paraId="194FC277" w14:textId="469D4455" w:rsidR="00B97DAB" w:rsidRDefault="00B97DAB">
            <w:r>
              <w:t xml:space="preserve">For the treatment of </w:t>
            </w:r>
          </w:p>
        </w:tc>
        <w:tc>
          <w:tcPr>
            <w:tcW w:w="6611" w:type="dxa"/>
          </w:tcPr>
          <w:p w14:paraId="23E416B7" w14:textId="0F9A22E0" w:rsidR="00656075" w:rsidRDefault="00026CD3" w:rsidP="00330790">
            <w:r>
              <w:t xml:space="preserve">Rosacea or </w:t>
            </w:r>
            <w:r w:rsidR="39CE02F7">
              <w:t>Erythrotelangiectatic Rosacea</w:t>
            </w:r>
            <w:r>
              <w:t xml:space="preserve"> (ETR)</w:t>
            </w:r>
          </w:p>
        </w:tc>
      </w:tr>
      <w:tr w:rsidR="00113D9B" w14:paraId="3D720573" w14:textId="77777777" w:rsidTr="52D50421">
        <w:trPr>
          <w:trHeight w:val="1845"/>
        </w:trPr>
        <w:tc>
          <w:tcPr>
            <w:tcW w:w="2405" w:type="dxa"/>
          </w:tcPr>
          <w:p w14:paraId="6B55BECB" w14:textId="291589DB" w:rsidR="00113D9B" w:rsidRDefault="00113D9B" w:rsidP="00113D9B">
            <w:r>
              <w:t xml:space="preserve">Commissioning Position </w:t>
            </w:r>
          </w:p>
        </w:tc>
        <w:tc>
          <w:tcPr>
            <w:tcW w:w="6611" w:type="dxa"/>
          </w:tcPr>
          <w:p w14:paraId="53855746" w14:textId="16AA3134" w:rsidR="003E5749" w:rsidRPr="00084C41" w:rsidRDefault="191CA06E" w:rsidP="00084C41">
            <w:pPr>
              <w:textAlignment w:val="baseline"/>
              <w:rPr>
                <w:rFonts w:eastAsiaTheme="minorEastAsia"/>
                <w:color w:val="000000"/>
                <w:shd w:val="clear" w:color="auto" w:fill="FFFFFF"/>
              </w:rPr>
            </w:pPr>
            <w:r w:rsidRPr="08B49851">
              <w:rPr>
                <w:rFonts w:eastAsiaTheme="minorEastAsia"/>
                <w:color w:val="000000" w:themeColor="text1"/>
              </w:rPr>
              <w:t xml:space="preserve">This intervention is not commissioned and therefore should not be </w:t>
            </w:r>
            <w:r w:rsidR="00084C41">
              <w:rPr>
                <w:rFonts w:eastAsiaTheme="minorEastAsia"/>
                <w:color w:val="000000" w:themeColor="text1"/>
              </w:rPr>
              <w:t xml:space="preserve">routinely </w:t>
            </w:r>
            <w:r w:rsidRPr="08B49851">
              <w:rPr>
                <w:rFonts w:eastAsiaTheme="minorEastAsia"/>
                <w:color w:val="000000" w:themeColor="text1"/>
              </w:rPr>
              <w:t>offered to patients. Application for funding approval can be made, using the IFR process, by the clinician recommending the intervention, if their assessment is that there are exceptional reasons why their patient could benefit from it.</w:t>
            </w:r>
          </w:p>
        </w:tc>
      </w:tr>
      <w:tr w:rsidR="00113D9B" w14:paraId="2EEB5014" w14:textId="77777777" w:rsidTr="52D50421">
        <w:trPr>
          <w:trHeight w:val="1620"/>
        </w:trPr>
        <w:tc>
          <w:tcPr>
            <w:tcW w:w="2405" w:type="dxa"/>
          </w:tcPr>
          <w:p w14:paraId="31574E9B" w14:textId="509110BD" w:rsidR="00113D9B" w:rsidRDefault="00113D9B" w:rsidP="00113D9B">
            <w:r>
              <w:t>Summary of Rationale</w:t>
            </w:r>
          </w:p>
          <w:p w14:paraId="61460744" w14:textId="7D87783C" w:rsidR="00113D9B" w:rsidRDefault="00113D9B" w:rsidP="00113D9B"/>
        </w:tc>
        <w:tc>
          <w:tcPr>
            <w:tcW w:w="6611" w:type="dxa"/>
          </w:tcPr>
          <w:p w14:paraId="5691B576" w14:textId="68C1C067" w:rsidR="00C524B8" w:rsidRPr="002F405C" w:rsidRDefault="1F77AF06" w:rsidP="08B49851">
            <w:pPr>
              <w:pStyle w:val="paragraph"/>
              <w:spacing w:before="0" w:beforeAutospacing="0" w:after="0" w:afterAutospacing="0"/>
              <w:textAlignment w:val="baseline"/>
              <w:rPr>
                <w:rFonts w:ascii="Calibri" w:hAnsi="Calibri" w:cs="Calibri"/>
                <w:sz w:val="22"/>
                <w:szCs w:val="22"/>
              </w:rPr>
            </w:pPr>
            <w:r w:rsidRPr="67792E74">
              <w:rPr>
                <w:rFonts w:ascii="Calibri" w:hAnsi="Calibri" w:cs="Calibri"/>
                <w:sz w:val="22"/>
                <w:szCs w:val="22"/>
              </w:rPr>
              <w:t>There</w:t>
            </w:r>
            <w:r w:rsidR="2B6E9090" w:rsidRPr="67792E74">
              <w:rPr>
                <w:rFonts w:ascii="Calibri" w:hAnsi="Calibri" w:cs="Calibri"/>
                <w:sz w:val="22"/>
                <w:szCs w:val="22"/>
              </w:rPr>
              <w:t xml:space="preserve"> </w:t>
            </w:r>
            <w:r w:rsidR="00026CD3">
              <w:rPr>
                <w:rFonts w:ascii="Calibri" w:hAnsi="Calibri" w:cs="Calibri"/>
                <w:sz w:val="22"/>
                <w:szCs w:val="22"/>
              </w:rPr>
              <w:t>is low to moderate quality evidence for effectiveness of</w:t>
            </w:r>
            <w:r w:rsidR="263B8D8B" w:rsidRPr="67792E74">
              <w:rPr>
                <w:rFonts w:ascii="Calibri" w:hAnsi="Calibri" w:cs="Calibri"/>
                <w:sz w:val="22"/>
                <w:szCs w:val="22"/>
              </w:rPr>
              <w:t xml:space="preserve"> laser </w:t>
            </w:r>
            <w:r w:rsidR="00026CD3">
              <w:rPr>
                <w:rFonts w:ascii="Calibri" w:hAnsi="Calibri" w:cs="Calibri"/>
                <w:sz w:val="22"/>
                <w:szCs w:val="22"/>
              </w:rPr>
              <w:t xml:space="preserve">or IPL </w:t>
            </w:r>
            <w:r w:rsidR="263B8D8B" w:rsidRPr="67792E74">
              <w:rPr>
                <w:rFonts w:ascii="Calibri" w:hAnsi="Calibri" w:cs="Calibri"/>
                <w:sz w:val="22"/>
                <w:szCs w:val="22"/>
              </w:rPr>
              <w:t xml:space="preserve">therapy </w:t>
            </w:r>
            <w:r w:rsidR="00026CD3">
              <w:rPr>
                <w:rFonts w:ascii="Calibri" w:hAnsi="Calibri" w:cs="Calibri"/>
                <w:sz w:val="22"/>
                <w:szCs w:val="22"/>
              </w:rPr>
              <w:t>to reduce</w:t>
            </w:r>
            <w:r w:rsidR="263B8D8B" w:rsidRPr="67792E74">
              <w:rPr>
                <w:rFonts w:ascii="Calibri" w:hAnsi="Calibri" w:cs="Calibri"/>
                <w:sz w:val="22"/>
                <w:szCs w:val="22"/>
              </w:rPr>
              <w:t xml:space="preserve"> </w:t>
            </w:r>
            <w:r w:rsidR="00026CD3">
              <w:rPr>
                <w:rFonts w:ascii="Calibri" w:hAnsi="Calibri" w:cs="Calibri"/>
                <w:sz w:val="22"/>
                <w:szCs w:val="22"/>
              </w:rPr>
              <w:t>persistent</w:t>
            </w:r>
            <w:r w:rsidR="263B8D8B" w:rsidRPr="67792E74">
              <w:rPr>
                <w:rFonts w:ascii="Calibri" w:hAnsi="Calibri" w:cs="Calibri"/>
                <w:sz w:val="22"/>
                <w:szCs w:val="22"/>
              </w:rPr>
              <w:t xml:space="preserve"> erythema </w:t>
            </w:r>
            <w:r w:rsidR="00026CD3">
              <w:rPr>
                <w:rFonts w:ascii="Calibri" w:hAnsi="Calibri" w:cs="Calibri"/>
                <w:sz w:val="22"/>
                <w:szCs w:val="22"/>
              </w:rPr>
              <w:t>or</w:t>
            </w:r>
            <w:r w:rsidR="263B8D8B" w:rsidRPr="67792E74">
              <w:rPr>
                <w:rFonts w:ascii="Calibri" w:hAnsi="Calibri" w:cs="Calibri"/>
                <w:sz w:val="22"/>
                <w:szCs w:val="22"/>
              </w:rPr>
              <w:t xml:space="preserve"> telangiectasia</w:t>
            </w:r>
            <w:r w:rsidR="0BCC9554" w:rsidRPr="67792E74">
              <w:rPr>
                <w:rFonts w:ascii="Calibri" w:hAnsi="Calibri" w:cs="Calibri"/>
                <w:sz w:val="22"/>
                <w:szCs w:val="22"/>
              </w:rPr>
              <w:t xml:space="preserve"> </w:t>
            </w:r>
            <w:r w:rsidR="00026CD3">
              <w:rPr>
                <w:rFonts w:ascii="Calibri" w:hAnsi="Calibri" w:cs="Calibri"/>
                <w:sz w:val="22"/>
                <w:szCs w:val="22"/>
              </w:rPr>
              <w:t>due to R</w:t>
            </w:r>
            <w:r w:rsidR="0BCC9554" w:rsidRPr="67792E74">
              <w:rPr>
                <w:rFonts w:ascii="Calibri" w:hAnsi="Calibri" w:cs="Calibri"/>
                <w:sz w:val="22"/>
                <w:szCs w:val="22"/>
              </w:rPr>
              <w:t>osacea</w:t>
            </w:r>
            <w:r w:rsidR="13AEA2C1" w:rsidRPr="67792E74">
              <w:rPr>
                <w:rFonts w:ascii="Calibri" w:hAnsi="Calibri" w:cs="Calibri"/>
                <w:sz w:val="22"/>
                <w:szCs w:val="22"/>
              </w:rPr>
              <w:t>.</w:t>
            </w:r>
            <w:r w:rsidR="00026CD3">
              <w:rPr>
                <w:rFonts w:ascii="Calibri" w:hAnsi="Calibri" w:cs="Calibri"/>
                <w:sz w:val="22"/>
                <w:szCs w:val="22"/>
              </w:rPr>
              <w:t xml:space="preserve"> The primary effect of these skin changes is cosmetic and can be alternatively managed</w:t>
            </w:r>
            <w:r w:rsidR="00B80975">
              <w:rPr>
                <w:rFonts w:ascii="Calibri" w:hAnsi="Calibri" w:cs="Calibri"/>
                <w:sz w:val="22"/>
                <w:szCs w:val="22"/>
              </w:rPr>
              <w:t>, including with</w:t>
            </w:r>
            <w:r w:rsidR="00026CD3">
              <w:rPr>
                <w:rFonts w:ascii="Calibri" w:hAnsi="Calibri" w:cs="Calibri"/>
                <w:sz w:val="22"/>
                <w:szCs w:val="22"/>
              </w:rPr>
              <w:t xml:space="preserve"> skin camouflage products,</w:t>
            </w:r>
          </w:p>
        </w:tc>
      </w:tr>
      <w:tr w:rsidR="00113D9B" w14:paraId="45DC12DB" w14:textId="77777777" w:rsidTr="52D50421">
        <w:tc>
          <w:tcPr>
            <w:tcW w:w="2405" w:type="dxa"/>
          </w:tcPr>
          <w:p w14:paraId="5A47F1A1" w14:textId="4F582E47" w:rsidR="00113D9B" w:rsidRDefault="00113D9B" w:rsidP="00113D9B">
            <w:r>
              <w:t xml:space="preserve">References </w:t>
            </w:r>
          </w:p>
        </w:tc>
        <w:tc>
          <w:tcPr>
            <w:tcW w:w="6611" w:type="dxa"/>
          </w:tcPr>
          <w:p w14:paraId="150D9A10" w14:textId="6BFF2B46" w:rsidR="0071328A" w:rsidRPr="00B80975" w:rsidRDefault="00026CD3" w:rsidP="00B80975">
            <w:pPr>
              <w:spacing w:after="160" w:line="235" w:lineRule="auto"/>
              <w:rPr>
                <w:rFonts w:ascii="Calibri" w:eastAsia="Calibri" w:hAnsi="Calibri" w:cs="Calibri"/>
                <w:lang w:val="en-US"/>
              </w:rPr>
            </w:pPr>
            <w:hyperlink r:id="rId10" w:history="1">
              <w:r w:rsidRPr="00026CD3">
                <w:rPr>
                  <w:rStyle w:val="Hyperlink"/>
                  <w:rFonts w:ascii="Calibri" w:eastAsia="Calibri" w:hAnsi="Calibri" w:cs="Calibri"/>
                  <w:color w:val="auto"/>
                </w:rPr>
                <w:t>Interventions for rosacea based on the phenotype approach: an updated systematic review including GRADE assessments | British Journal of Dermatology | Oxford Academic</w:t>
              </w:r>
            </w:hyperlink>
            <w:r w:rsidRPr="00026CD3">
              <w:rPr>
                <w:rFonts w:ascii="Calibri" w:eastAsia="Calibri" w:hAnsi="Calibri" w:cs="Calibri"/>
                <w:lang w:val="en-US"/>
              </w:rPr>
              <w:t xml:space="preserve"> </w:t>
            </w:r>
          </w:p>
        </w:tc>
      </w:tr>
      <w:tr w:rsidR="00113D9B" w14:paraId="2F64E887" w14:textId="77777777" w:rsidTr="52D50421">
        <w:tc>
          <w:tcPr>
            <w:tcW w:w="2405" w:type="dxa"/>
          </w:tcPr>
          <w:p w14:paraId="26CC3A7F" w14:textId="3F59DDFA" w:rsidR="00113D9B" w:rsidRDefault="00113D9B" w:rsidP="00113D9B">
            <w:r>
              <w:t>Effective from</w:t>
            </w:r>
          </w:p>
        </w:tc>
        <w:tc>
          <w:tcPr>
            <w:tcW w:w="6611" w:type="dxa"/>
          </w:tcPr>
          <w:p w14:paraId="03ECD2F0" w14:textId="31583CB8" w:rsidR="00113D9B" w:rsidRDefault="42DDA54F" w:rsidP="00113D9B">
            <w:r>
              <w:t>01/0</w:t>
            </w:r>
            <w:r w:rsidR="47B74B88">
              <w:t>7</w:t>
            </w:r>
            <w:r>
              <w:t>/2025</w:t>
            </w:r>
          </w:p>
        </w:tc>
      </w:tr>
      <w:tr w:rsidR="00113D9B" w14:paraId="2C1E1213" w14:textId="77777777" w:rsidTr="52D50421">
        <w:tc>
          <w:tcPr>
            <w:tcW w:w="2405" w:type="dxa"/>
          </w:tcPr>
          <w:p w14:paraId="4D394461" w14:textId="4D85EBE7" w:rsidR="00113D9B" w:rsidRDefault="00113D9B" w:rsidP="00113D9B">
            <w:r>
              <w:t xml:space="preserve">Policy Review Date </w:t>
            </w:r>
          </w:p>
        </w:tc>
        <w:tc>
          <w:tcPr>
            <w:tcW w:w="6611" w:type="dxa"/>
          </w:tcPr>
          <w:p w14:paraId="29012611" w14:textId="2E06560E" w:rsidR="00113D9B" w:rsidRDefault="71CF4D9F" w:rsidP="00113D9B">
            <w:r>
              <w:t>01</w:t>
            </w:r>
            <w:r w:rsidR="27F7B8F6">
              <w:t>/07/202</w:t>
            </w:r>
            <w:r w:rsidR="00B80975">
              <w:t>8</w:t>
            </w:r>
          </w:p>
        </w:tc>
      </w:tr>
    </w:tbl>
    <w:p w14:paraId="18EDB3DD" w14:textId="77777777" w:rsidR="000E104F" w:rsidRDefault="000E104F"/>
    <w:sectPr w:rsidR="000E10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9C294" w14:textId="77777777" w:rsidR="00ED6FE9" w:rsidRDefault="00ED6FE9">
      <w:pPr>
        <w:spacing w:after="0" w:line="240" w:lineRule="auto"/>
      </w:pPr>
      <w:r>
        <w:separator/>
      </w:r>
    </w:p>
  </w:endnote>
  <w:endnote w:type="continuationSeparator" w:id="0">
    <w:p w14:paraId="56A573F5" w14:textId="77777777" w:rsidR="00ED6FE9" w:rsidRDefault="00ED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5B9EC" w14:textId="77777777" w:rsidR="00ED6FE9" w:rsidRDefault="00ED6FE9">
      <w:pPr>
        <w:spacing w:after="0" w:line="240" w:lineRule="auto"/>
      </w:pPr>
      <w:r>
        <w:separator/>
      </w:r>
    </w:p>
  </w:footnote>
  <w:footnote w:type="continuationSeparator" w:id="0">
    <w:p w14:paraId="4EE78807" w14:textId="77777777" w:rsidR="00ED6FE9" w:rsidRDefault="00ED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18dCfRb30hl35I" int2:id="hZg6IxXH">
      <int2:state int2:value="Rejected" int2:type="AugLoop_Text_Critique"/>
    </int2:textHash>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4358"/>
    <w:multiLevelType w:val="hybridMultilevel"/>
    <w:tmpl w:val="A756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B1BCE"/>
    <w:multiLevelType w:val="hybridMultilevel"/>
    <w:tmpl w:val="F68871B6"/>
    <w:lvl w:ilvl="0" w:tplc="F1C6ECA6">
      <w:start w:val="1"/>
      <w:numFmt w:val="bullet"/>
      <w:lvlText w:val=""/>
      <w:lvlJc w:val="left"/>
      <w:pPr>
        <w:ind w:left="720" w:hanging="360"/>
      </w:pPr>
      <w:rPr>
        <w:rFonts w:ascii="Symbol" w:hAnsi="Symbol" w:hint="default"/>
      </w:rPr>
    </w:lvl>
    <w:lvl w:ilvl="1" w:tplc="48AC7508">
      <w:start w:val="1"/>
      <w:numFmt w:val="bullet"/>
      <w:lvlText w:val="o"/>
      <w:lvlJc w:val="left"/>
      <w:pPr>
        <w:ind w:left="1440" w:hanging="360"/>
      </w:pPr>
      <w:rPr>
        <w:rFonts w:ascii="Courier New" w:hAnsi="Courier New" w:hint="default"/>
      </w:rPr>
    </w:lvl>
    <w:lvl w:ilvl="2" w:tplc="45042CA4">
      <w:start w:val="1"/>
      <w:numFmt w:val="bullet"/>
      <w:lvlText w:val=""/>
      <w:lvlJc w:val="left"/>
      <w:pPr>
        <w:ind w:left="2160" w:hanging="360"/>
      </w:pPr>
      <w:rPr>
        <w:rFonts w:ascii="Wingdings" w:hAnsi="Wingdings" w:hint="default"/>
      </w:rPr>
    </w:lvl>
    <w:lvl w:ilvl="3" w:tplc="E4E243B0">
      <w:start w:val="1"/>
      <w:numFmt w:val="bullet"/>
      <w:lvlText w:val=""/>
      <w:lvlJc w:val="left"/>
      <w:pPr>
        <w:ind w:left="2880" w:hanging="360"/>
      </w:pPr>
      <w:rPr>
        <w:rFonts w:ascii="Symbol" w:hAnsi="Symbol" w:hint="default"/>
      </w:rPr>
    </w:lvl>
    <w:lvl w:ilvl="4" w:tplc="04684DDE">
      <w:start w:val="1"/>
      <w:numFmt w:val="bullet"/>
      <w:lvlText w:val="o"/>
      <w:lvlJc w:val="left"/>
      <w:pPr>
        <w:ind w:left="3600" w:hanging="360"/>
      </w:pPr>
      <w:rPr>
        <w:rFonts w:ascii="Courier New" w:hAnsi="Courier New" w:hint="default"/>
      </w:rPr>
    </w:lvl>
    <w:lvl w:ilvl="5" w:tplc="B4AA7370">
      <w:start w:val="1"/>
      <w:numFmt w:val="bullet"/>
      <w:lvlText w:val=""/>
      <w:lvlJc w:val="left"/>
      <w:pPr>
        <w:ind w:left="4320" w:hanging="360"/>
      </w:pPr>
      <w:rPr>
        <w:rFonts w:ascii="Wingdings" w:hAnsi="Wingdings" w:hint="default"/>
      </w:rPr>
    </w:lvl>
    <w:lvl w:ilvl="6" w:tplc="13146CB8">
      <w:start w:val="1"/>
      <w:numFmt w:val="bullet"/>
      <w:lvlText w:val=""/>
      <w:lvlJc w:val="left"/>
      <w:pPr>
        <w:ind w:left="5040" w:hanging="360"/>
      </w:pPr>
      <w:rPr>
        <w:rFonts w:ascii="Symbol" w:hAnsi="Symbol" w:hint="default"/>
      </w:rPr>
    </w:lvl>
    <w:lvl w:ilvl="7" w:tplc="5DD4EA96">
      <w:start w:val="1"/>
      <w:numFmt w:val="bullet"/>
      <w:lvlText w:val="o"/>
      <w:lvlJc w:val="left"/>
      <w:pPr>
        <w:ind w:left="5760" w:hanging="360"/>
      </w:pPr>
      <w:rPr>
        <w:rFonts w:ascii="Courier New" w:hAnsi="Courier New" w:hint="default"/>
      </w:rPr>
    </w:lvl>
    <w:lvl w:ilvl="8" w:tplc="23A60860">
      <w:start w:val="1"/>
      <w:numFmt w:val="bullet"/>
      <w:lvlText w:val=""/>
      <w:lvlJc w:val="left"/>
      <w:pPr>
        <w:ind w:left="6480" w:hanging="360"/>
      </w:pPr>
      <w:rPr>
        <w:rFonts w:ascii="Wingdings" w:hAnsi="Wingdings" w:hint="default"/>
      </w:rPr>
    </w:lvl>
  </w:abstractNum>
  <w:abstractNum w:abstractNumId="2"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4"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197457"/>
    <w:multiLevelType w:val="hybridMultilevel"/>
    <w:tmpl w:val="12C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85019"/>
    <w:multiLevelType w:val="hybridMultilevel"/>
    <w:tmpl w:val="2658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950244">
    <w:abstractNumId w:val="1"/>
  </w:num>
  <w:num w:numId="2" w16cid:durableId="1733386344">
    <w:abstractNumId w:val="3"/>
  </w:num>
  <w:num w:numId="3" w16cid:durableId="1872303278">
    <w:abstractNumId w:val="14"/>
  </w:num>
  <w:num w:numId="4" w16cid:durableId="1147431926">
    <w:abstractNumId w:val="2"/>
  </w:num>
  <w:num w:numId="5" w16cid:durableId="890380511">
    <w:abstractNumId w:val="5"/>
  </w:num>
  <w:num w:numId="6" w16cid:durableId="1585725535">
    <w:abstractNumId w:val="13"/>
  </w:num>
  <w:num w:numId="7" w16cid:durableId="1128164145">
    <w:abstractNumId w:val="9"/>
  </w:num>
  <w:num w:numId="8" w16cid:durableId="1607155194">
    <w:abstractNumId w:val="12"/>
  </w:num>
  <w:num w:numId="9" w16cid:durableId="70854915">
    <w:abstractNumId w:val="4"/>
  </w:num>
  <w:num w:numId="10" w16cid:durableId="1686781628">
    <w:abstractNumId w:val="7"/>
  </w:num>
  <w:num w:numId="11" w16cid:durableId="1966278688">
    <w:abstractNumId w:val="8"/>
  </w:num>
  <w:num w:numId="12" w16cid:durableId="864752626">
    <w:abstractNumId w:val="11"/>
  </w:num>
  <w:num w:numId="13" w16cid:durableId="443887326">
    <w:abstractNumId w:val="6"/>
  </w:num>
  <w:num w:numId="14" w16cid:durableId="814105023">
    <w:abstractNumId w:val="0"/>
  </w:num>
  <w:num w:numId="15" w16cid:durableId="918371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26CD3"/>
    <w:rsid w:val="00040AFB"/>
    <w:rsid w:val="00084C41"/>
    <w:rsid w:val="000E104F"/>
    <w:rsid w:val="00113D9B"/>
    <w:rsid w:val="00177C4D"/>
    <w:rsid w:val="001816E6"/>
    <w:rsid w:val="00191AB3"/>
    <w:rsid w:val="001C7C21"/>
    <w:rsid w:val="002B64EE"/>
    <w:rsid w:val="002D97A4"/>
    <w:rsid w:val="002E2723"/>
    <w:rsid w:val="002F405C"/>
    <w:rsid w:val="00315AA0"/>
    <w:rsid w:val="00330790"/>
    <w:rsid w:val="0034218A"/>
    <w:rsid w:val="0039492D"/>
    <w:rsid w:val="003E5749"/>
    <w:rsid w:val="004C292B"/>
    <w:rsid w:val="0050314A"/>
    <w:rsid w:val="005357F8"/>
    <w:rsid w:val="005565A7"/>
    <w:rsid w:val="005820AB"/>
    <w:rsid w:val="00597535"/>
    <w:rsid w:val="005B53B6"/>
    <w:rsid w:val="005D51AC"/>
    <w:rsid w:val="005E3ADB"/>
    <w:rsid w:val="005F0F1D"/>
    <w:rsid w:val="00610BAE"/>
    <w:rsid w:val="00643B10"/>
    <w:rsid w:val="00656075"/>
    <w:rsid w:val="00702D52"/>
    <w:rsid w:val="0071328A"/>
    <w:rsid w:val="007606C0"/>
    <w:rsid w:val="00784A20"/>
    <w:rsid w:val="007A1D76"/>
    <w:rsid w:val="0080365B"/>
    <w:rsid w:val="0086083A"/>
    <w:rsid w:val="0093C44A"/>
    <w:rsid w:val="00946B0C"/>
    <w:rsid w:val="009D3390"/>
    <w:rsid w:val="009D48EB"/>
    <w:rsid w:val="009E11A9"/>
    <w:rsid w:val="00A21761"/>
    <w:rsid w:val="00A719FC"/>
    <w:rsid w:val="00AA38E1"/>
    <w:rsid w:val="00AE39A5"/>
    <w:rsid w:val="00B80975"/>
    <w:rsid w:val="00B835D0"/>
    <w:rsid w:val="00B97DAB"/>
    <w:rsid w:val="00BB3672"/>
    <w:rsid w:val="00BC27F1"/>
    <w:rsid w:val="00BC5D73"/>
    <w:rsid w:val="00C26C1B"/>
    <w:rsid w:val="00C36761"/>
    <w:rsid w:val="00C524B8"/>
    <w:rsid w:val="00C5358B"/>
    <w:rsid w:val="00C55041"/>
    <w:rsid w:val="00CA6AFC"/>
    <w:rsid w:val="00CC21DE"/>
    <w:rsid w:val="00D05B5A"/>
    <w:rsid w:val="00D81158"/>
    <w:rsid w:val="00DD4A29"/>
    <w:rsid w:val="00DF00AB"/>
    <w:rsid w:val="00E17065"/>
    <w:rsid w:val="00E23A5B"/>
    <w:rsid w:val="00E562FF"/>
    <w:rsid w:val="00E9359C"/>
    <w:rsid w:val="00EB3CFA"/>
    <w:rsid w:val="00ED5143"/>
    <w:rsid w:val="00ED6FE9"/>
    <w:rsid w:val="00F012EF"/>
    <w:rsid w:val="00F07B5C"/>
    <w:rsid w:val="00F9067A"/>
    <w:rsid w:val="00FF3EE2"/>
    <w:rsid w:val="00FF6EF3"/>
    <w:rsid w:val="01A0723A"/>
    <w:rsid w:val="027014CC"/>
    <w:rsid w:val="02B3C44F"/>
    <w:rsid w:val="03263FA6"/>
    <w:rsid w:val="0340A53E"/>
    <w:rsid w:val="06B2E1F5"/>
    <w:rsid w:val="08B49851"/>
    <w:rsid w:val="0A3DAA37"/>
    <w:rsid w:val="0B3CDF4D"/>
    <w:rsid w:val="0B4426F4"/>
    <w:rsid w:val="0B69B9AE"/>
    <w:rsid w:val="0B6A0C66"/>
    <w:rsid w:val="0BCC9554"/>
    <w:rsid w:val="0D72D39D"/>
    <w:rsid w:val="0D8C1F07"/>
    <w:rsid w:val="0DCB6B24"/>
    <w:rsid w:val="0E2289EC"/>
    <w:rsid w:val="1006B3B5"/>
    <w:rsid w:val="11C3F4CD"/>
    <w:rsid w:val="11C6DB78"/>
    <w:rsid w:val="12367C70"/>
    <w:rsid w:val="125CE929"/>
    <w:rsid w:val="13AEA2C1"/>
    <w:rsid w:val="159BA52D"/>
    <w:rsid w:val="15BC3DD0"/>
    <w:rsid w:val="17AECED6"/>
    <w:rsid w:val="17E07222"/>
    <w:rsid w:val="17F6ADAE"/>
    <w:rsid w:val="18036D08"/>
    <w:rsid w:val="191CA06E"/>
    <w:rsid w:val="19C4D6BD"/>
    <w:rsid w:val="1A81385A"/>
    <w:rsid w:val="1AD2E970"/>
    <w:rsid w:val="1AE4874C"/>
    <w:rsid w:val="1BC662FA"/>
    <w:rsid w:val="1C8B89BA"/>
    <w:rsid w:val="1D752072"/>
    <w:rsid w:val="1D7BA3D8"/>
    <w:rsid w:val="1DD402BC"/>
    <w:rsid w:val="1DD6F1EE"/>
    <w:rsid w:val="1DF00ACD"/>
    <w:rsid w:val="1F77AF06"/>
    <w:rsid w:val="1F92CEBE"/>
    <w:rsid w:val="202674B0"/>
    <w:rsid w:val="211E43A1"/>
    <w:rsid w:val="21E4DCB7"/>
    <w:rsid w:val="229E4C0C"/>
    <w:rsid w:val="236D715C"/>
    <w:rsid w:val="237966E0"/>
    <w:rsid w:val="23815A24"/>
    <w:rsid w:val="248017C3"/>
    <w:rsid w:val="24D5FB3E"/>
    <w:rsid w:val="259A01F4"/>
    <w:rsid w:val="259F8EE9"/>
    <w:rsid w:val="262917C6"/>
    <w:rsid w:val="263B8D8B"/>
    <w:rsid w:val="27F450A4"/>
    <w:rsid w:val="27F7B8F6"/>
    <w:rsid w:val="2885983E"/>
    <w:rsid w:val="28CE201A"/>
    <w:rsid w:val="29A4870D"/>
    <w:rsid w:val="2A132DA5"/>
    <w:rsid w:val="2A602EEE"/>
    <w:rsid w:val="2ADF9B2F"/>
    <w:rsid w:val="2B6E9090"/>
    <w:rsid w:val="2B9E4B41"/>
    <w:rsid w:val="2BF356F9"/>
    <w:rsid w:val="2D4080A8"/>
    <w:rsid w:val="2D65690D"/>
    <w:rsid w:val="2EAB0FED"/>
    <w:rsid w:val="2F390788"/>
    <w:rsid w:val="313005C7"/>
    <w:rsid w:val="3194BA9C"/>
    <w:rsid w:val="31DBDFB9"/>
    <w:rsid w:val="31E04BB0"/>
    <w:rsid w:val="32CA07D6"/>
    <w:rsid w:val="34B68F6F"/>
    <w:rsid w:val="37139CE6"/>
    <w:rsid w:val="37A5F2E9"/>
    <w:rsid w:val="389181A6"/>
    <w:rsid w:val="39BAF3F0"/>
    <w:rsid w:val="39CE02F7"/>
    <w:rsid w:val="3AC6CF7E"/>
    <w:rsid w:val="3ADDACA7"/>
    <w:rsid w:val="3B526FD8"/>
    <w:rsid w:val="3CD4FE42"/>
    <w:rsid w:val="3DD881ED"/>
    <w:rsid w:val="3DF55611"/>
    <w:rsid w:val="3EB5E826"/>
    <w:rsid w:val="3F1A4DFE"/>
    <w:rsid w:val="3FF48BFB"/>
    <w:rsid w:val="41AF7BD7"/>
    <w:rsid w:val="42764199"/>
    <w:rsid w:val="42DDA54F"/>
    <w:rsid w:val="44161341"/>
    <w:rsid w:val="44709B3A"/>
    <w:rsid w:val="44DFFF9E"/>
    <w:rsid w:val="45497F20"/>
    <w:rsid w:val="461E4332"/>
    <w:rsid w:val="464109D6"/>
    <w:rsid w:val="470E75E8"/>
    <w:rsid w:val="47B74B88"/>
    <w:rsid w:val="47C1EDAF"/>
    <w:rsid w:val="48CA8764"/>
    <w:rsid w:val="492132F9"/>
    <w:rsid w:val="49B24642"/>
    <w:rsid w:val="49CA6BE4"/>
    <w:rsid w:val="4AB7F8B9"/>
    <w:rsid w:val="4B6F04AC"/>
    <w:rsid w:val="4BF5E009"/>
    <w:rsid w:val="4C7887BF"/>
    <w:rsid w:val="4CADA413"/>
    <w:rsid w:val="4CDF4A7F"/>
    <w:rsid w:val="4D8DD7CD"/>
    <w:rsid w:val="4F9A594B"/>
    <w:rsid w:val="506D4E92"/>
    <w:rsid w:val="509D0A6E"/>
    <w:rsid w:val="51A0B5FB"/>
    <w:rsid w:val="51A163CA"/>
    <w:rsid w:val="51FC12EE"/>
    <w:rsid w:val="5228523F"/>
    <w:rsid w:val="527AE72B"/>
    <w:rsid w:val="52D50421"/>
    <w:rsid w:val="53800DA4"/>
    <w:rsid w:val="54926A3B"/>
    <w:rsid w:val="54F16111"/>
    <w:rsid w:val="56541B87"/>
    <w:rsid w:val="56FDB0F3"/>
    <w:rsid w:val="576BD8FE"/>
    <w:rsid w:val="5889EC3A"/>
    <w:rsid w:val="5EEF045C"/>
    <w:rsid w:val="60C9DE94"/>
    <w:rsid w:val="60D2066C"/>
    <w:rsid w:val="6149AF43"/>
    <w:rsid w:val="618E33EE"/>
    <w:rsid w:val="61F0716E"/>
    <w:rsid w:val="629A7426"/>
    <w:rsid w:val="62E581D5"/>
    <w:rsid w:val="634A942D"/>
    <w:rsid w:val="6415C3AD"/>
    <w:rsid w:val="6454475A"/>
    <w:rsid w:val="66E39AFF"/>
    <w:rsid w:val="66EA0954"/>
    <w:rsid w:val="674D7470"/>
    <w:rsid w:val="67792E74"/>
    <w:rsid w:val="682E6701"/>
    <w:rsid w:val="684015C6"/>
    <w:rsid w:val="69238F85"/>
    <w:rsid w:val="6B712061"/>
    <w:rsid w:val="6CE37D70"/>
    <w:rsid w:val="6D031072"/>
    <w:rsid w:val="6D7D200E"/>
    <w:rsid w:val="6DA3FEC7"/>
    <w:rsid w:val="6EBD184F"/>
    <w:rsid w:val="6F458D73"/>
    <w:rsid w:val="70576698"/>
    <w:rsid w:val="7151C3C6"/>
    <w:rsid w:val="71CF4D9F"/>
    <w:rsid w:val="729439FE"/>
    <w:rsid w:val="72E30B9B"/>
    <w:rsid w:val="72F30E7F"/>
    <w:rsid w:val="733FD065"/>
    <w:rsid w:val="73B0EE47"/>
    <w:rsid w:val="742C8B87"/>
    <w:rsid w:val="76FBA8B2"/>
    <w:rsid w:val="7816D552"/>
    <w:rsid w:val="7822021C"/>
    <w:rsid w:val="788B39B6"/>
    <w:rsid w:val="79BC8E83"/>
    <w:rsid w:val="7ADC5D01"/>
    <w:rsid w:val="7BB571EE"/>
    <w:rsid w:val="7CC3930B"/>
    <w:rsid w:val="7CFECCC7"/>
    <w:rsid w:val="7D588AA7"/>
    <w:rsid w:val="7E0A7EF1"/>
    <w:rsid w:val="7E2E4474"/>
    <w:rsid w:val="7F3030AF"/>
    <w:rsid w:val="7F6C614E"/>
    <w:rsid w:val="7FCAC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character" w:styleId="UnresolvedMention">
    <w:name w:val="Unresolved Mention"/>
    <w:basedOn w:val="DefaultParagraphFont"/>
    <w:uiPriority w:val="99"/>
    <w:semiHidden/>
    <w:unhideWhenUsed/>
    <w:rsid w:val="002F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 w:id="635449598">
      <w:bodyDiv w:val="1"/>
      <w:marLeft w:val="0"/>
      <w:marRight w:val="0"/>
      <w:marTop w:val="0"/>
      <w:marBottom w:val="0"/>
      <w:divBdr>
        <w:top w:val="none" w:sz="0" w:space="0" w:color="auto"/>
        <w:left w:val="none" w:sz="0" w:space="0" w:color="auto"/>
        <w:bottom w:val="none" w:sz="0" w:space="0" w:color="auto"/>
        <w:right w:val="none" w:sz="0" w:space="0" w:color="auto"/>
      </w:divBdr>
    </w:div>
    <w:div w:id="2082871705">
      <w:bodyDiv w:val="1"/>
      <w:marLeft w:val="0"/>
      <w:marRight w:val="0"/>
      <w:marTop w:val="0"/>
      <w:marBottom w:val="0"/>
      <w:divBdr>
        <w:top w:val="none" w:sz="0" w:space="0" w:color="auto"/>
        <w:left w:val="none" w:sz="0" w:space="0" w:color="auto"/>
        <w:bottom w:val="none" w:sz="0" w:space="0" w:color="auto"/>
        <w:right w:val="none" w:sz="0" w:space="0" w:color="auto"/>
      </w:divBdr>
    </w:div>
    <w:div w:id="2097094772">
      <w:bodyDiv w:val="1"/>
      <w:marLeft w:val="0"/>
      <w:marRight w:val="0"/>
      <w:marTop w:val="0"/>
      <w:marBottom w:val="0"/>
      <w:divBdr>
        <w:top w:val="none" w:sz="0" w:space="0" w:color="auto"/>
        <w:left w:val="none" w:sz="0" w:space="0" w:color="auto"/>
        <w:bottom w:val="none" w:sz="0" w:space="0" w:color="auto"/>
        <w:right w:val="none" w:sz="0" w:space="0" w:color="auto"/>
      </w:divBdr>
    </w:div>
    <w:div w:id="21465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academic.oup.com/bjd/article/181/1/65/674719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4" ma:contentTypeDescription="Create a new document." ma:contentTypeScope="" ma:versionID="1c80c22be313f6cedacd09506805b8e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4c108e74b334b212211c669f96a83a18"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2.xml><?xml version="1.0" encoding="utf-8"?>
<ds:datastoreItem xmlns:ds="http://schemas.openxmlformats.org/officeDocument/2006/customXml" ds:itemID="{B5268341-9059-4891-8910-23766E34A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E2BB1-B746-425F-8753-9F82113632BA}">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Company>NHS</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4</cp:revision>
  <dcterms:created xsi:type="dcterms:W3CDTF">2025-05-14T10:41:00Z</dcterms:created>
  <dcterms:modified xsi:type="dcterms:W3CDTF">2025-05-15T09:10:00Z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