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1E382" w14:textId="6AF6F592" w:rsidR="00556DDB" w:rsidRDefault="00E73A9C">
      <w:pPr>
        <w:pStyle w:val="BodyText"/>
        <w:rPr>
          <w:rFonts w:ascii="Times New Roman"/>
          <w:sz w:val="20"/>
        </w:rPr>
      </w:pPr>
      <w:r>
        <w:rPr>
          <w:noProof/>
        </w:rPr>
        <w:drawing>
          <wp:anchor distT="0" distB="0" distL="0" distR="0" simplePos="0" relativeHeight="251658240" behindDoc="1" locked="0" layoutInCell="1" allowOverlap="1" wp14:anchorId="59149319" wp14:editId="3D41A558">
            <wp:simplePos x="0" y="0"/>
            <wp:positionH relativeFrom="page">
              <wp:posOffset>5643217</wp:posOffset>
            </wp:positionH>
            <wp:positionV relativeFrom="page">
              <wp:posOffset>222941</wp:posOffset>
            </wp:positionV>
            <wp:extent cx="1571625" cy="838834"/>
            <wp:effectExtent l="0" t="0" r="0" b="0"/>
            <wp:wrapNone/>
            <wp:docPr id="392840216" name="Picture 392840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42459" name="Picture 130684245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571625" cy="838834"/>
                    </a:xfrm>
                    <a:prstGeom prst="rect">
                      <a:avLst/>
                    </a:prstGeom>
                  </pic:spPr>
                </pic:pic>
              </a:graphicData>
            </a:graphic>
          </wp:anchor>
        </w:drawing>
      </w:r>
      <w:r>
        <w:rPr>
          <w:noProof/>
        </w:rPr>
        <w:drawing>
          <wp:anchor distT="0" distB="0" distL="0" distR="0" simplePos="0" relativeHeight="251658241" behindDoc="1" locked="0" layoutInCell="1" allowOverlap="1" wp14:anchorId="3547D47A" wp14:editId="365883FC">
            <wp:simplePos x="0" y="0"/>
            <wp:positionH relativeFrom="page">
              <wp:posOffset>457200</wp:posOffset>
            </wp:positionH>
            <wp:positionV relativeFrom="page">
              <wp:posOffset>288290</wp:posOffset>
            </wp:positionV>
            <wp:extent cx="2905125" cy="552450"/>
            <wp:effectExtent l="0" t="0" r="0" b="0"/>
            <wp:wrapNone/>
            <wp:docPr id="1938501664" name="Picture 1938501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58792" name="Picture 2045158792">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905125" cy="552450"/>
                    </a:xfrm>
                    <a:prstGeom prst="rect">
                      <a:avLst/>
                    </a:prstGeom>
                  </pic:spPr>
                </pic:pic>
              </a:graphicData>
            </a:graphic>
          </wp:anchor>
        </w:drawing>
      </w:r>
    </w:p>
    <w:p w14:paraId="2DE19F8F" w14:textId="08721E6D" w:rsidR="00556DDB" w:rsidRDefault="00F321E6" w:rsidP="00F321E6">
      <w:pPr>
        <w:pStyle w:val="BodyText"/>
        <w:tabs>
          <w:tab w:val="left" w:pos="6110"/>
        </w:tabs>
        <w:rPr>
          <w:rFonts w:ascii="Times New Roman"/>
          <w:sz w:val="20"/>
        </w:rPr>
      </w:pPr>
      <w:r>
        <w:rPr>
          <w:rFonts w:ascii="Times New Roman"/>
          <w:sz w:val="20"/>
        </w:rPr>
        <w:tab/>
      </w:r>
    </w:p>
    <w:p w14:paraId="43B306AB" w14:textId="77777777" w:rsidR="00556DDB" w:rsidRDefault="00556DDB">
      <w:pPr>
        <w:pStyle w:val="BodyText"/>
        <w:rPr>
          <w:rFonts w:ascii="Times New Roman"/>
          <w:sz w:val="20"/>
        </w:rPr>
      </w:pPr>
    </w:p>
    <w:p w14:paraId="4613A02B" w14:textId="77777777" w:rsidR="00556DDB" w:rsidRDefault="00556DDB">
      <w:pPr>
        <w:pStyle w:val="BodyText"/>
        <w:rPr>
          <w:rFonts w:ascii="Times New Roman"/>
          <w:sz w:val="20"/>
        </w:rPr>
      </w:pPr>
    </w:p>
    <w:p w14:paraId="79F4677C" w14:textId="77777777" w:rsidR="00556DDB" w:rsidRDefault="00556DDB">
      <w:pPr>
        <w:pStyle w:val="BodyText"/>
        <w:spacing w:before="3"/>
        <w:rPr>
          <w:rFonts w:ascii="Times New Roman"/>
          <w:sz w:val="21"/>
        </w:rPr>
      </w:pPr>
    </w:p>
    <w:p w14:paraId="650837A1" w14:textId="77777777" w:rsidR="00844418" w:rsidRDefault="00C51ED5" w:rsidP="00844418">
      <w:pPr>
        <w:spacing w:before="84"/>
        <w:ind w:right="100" w:firstLine="12"/>
        <w:jc w:val="center"/>
        <w:rPr>
          <w:b/>
          <w:sz w:val="48"/>
        </w:rPr>
      </w:pPr>
      <w:r>
        <w:rPr>
          <w:b/>
          <w:sz w:val="48"/>
        </w:rPr>
        <w:t xml:space="preserve">NHS Humber and North Yorkshire </w:t>
      </w:r>
    </w:p>
    <w:p w14:paraId="667AF218" w14:textId="4412D696" w:rsidR="00844418" w:rsidRDefault="00C51ED5" w:rsidP="00844418">
      <w:pPr>
        <w:spacing w:before="84"/>
        <w:ind w:right="100" w:firstLine="12"/>
        <w:jc w:val="center"/>
        <w:rPr>
          <w:b/>
          <w:sz w:val="48"/>
        </w:rPr>
      </w:pPr>
      <w:r>
        <w:rPr>
          <w:b/>
          <w:sz w:val="48"/>
        </w:rPr>
        <w:t xml:space="preserve">Integrated Care Board </w:t>
      </w:r>
    </w:p>
    <w:p w14:paraId="0B04196D" w14:textId="77777777" w:rsidR="00F758E4" w:rsidRDefault="00F758E4" w:rsidP="00844418">
      <w:pPr>
        <w:spacing w:before="84"/>
        <w:ind w:right="100" w:firstLine="12"/>
        <w:jc w:val="center"/>
        <w:rPr>
          <w:b/>
          <w:sz w:val="48"/>
        </w:rPr>
      </w:pPr>
    </w:p>
    <w:p w14:paraId="30330665" w14:textId="48648EB9" w:rsidR="00556DDB" w:rsidRDefault="00C51ED5" w:rsidP="2C60C539">
      <w:pPr>
        <w:spacing w:before="84"/>
        <w:ind w:right="100" w:firstLine="12"/>
        <w:jc w:val="center"/>
        <w:rPr>
          <w:b/>
          <w:bCs/>
          <w:sz w:val="48"/>
          <w:szCs w:val="48"/>
        </w:rPr>
      </w:pPr>
      <w:r w:rsidRPr="2C60C539">
        <w:rPr>
          <w:b/>
          <w:bCs/>
          <w:sz w:val="48"/>
          <w:szCs w:val="48"/>
        </w:rPr>
        <w:t>Governance Handbook</w:t>
      </w:r>
    </w:p>
    <w:p w14:paraId="30891E65" w14:textId="77777777" w:rsidR="00556DDB" w:rsidRDefault="00556DDB">
      <w:pPr>
        <w:pStyle w:val="BodyText"/>
        <w:spacing w:before="10"/>
        <w:rPr>
          <w:b/>
          <w:sz w:val="47"/>
        </w:rPr>
      </w:pPr>
    </w:p>
    <w:p w14:paraId="13A475F4" w14:textId="77777777" w:rsidR="00556DDB" w:rsidRDefault="00556DDB">
      <w:pPr>
        <w:pStyle w:val="BodyText"/>
        <w:rPr>
          <w:b/>
          <w:sz w:val="20"/>
        </w:rPr>
      </w:pPr>
    </w:p>
    <w:p w14:paraId="274DDE12" w14:textId="77777777" w:rsidR="00556DDB" w:rsidRDefault="00556DDB">
      <w:pPr>
        <w:pStyle w:val="BodyText"/>
        <w:rPr>
          <w:b/>
          <w:sz w:val="20"/>
        </w:rPr>
      </w:pPr>
    </w:p>
    <w:p w14:paraId="714D1681" w14:textId="77777777" w:rsidR="00556DDB" w:rsidRDefault="00556DDB">
      <w:pPr>
        <w:pStyle w:val="BodyText"/>
        <w:spacing w:after="1"/>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6693"/>
      </w:tblGrid>
      <w:tr w:rsidR="00556DDB" w14:paraId="231F33CF" w14:textId="77777777">
        <w:trPr>
          <w:trHeight w:val="414"/>
        </w:trPr>
        <w:tc>
          <w:tcPr>
            <w:tcW w:w="3654" w:type="dxa"/>
            <w:shd w:val="clear" w:color="auto" w:fill="B8CCE3"/>
          </w:tcPr>
          <w:p w14:paraId="35653505" w14:textId="77777777" w:rsidR="00556DDB" w:rsidRDefault="00C51ED5">
            <w:pPr>
              <w:pStyle w:val="TableParagraph"/>
              <w:ind w:left="107"/>
              <w:rPr>
                <w:b/>
                <w:sz w:val="24"/>
              </w:rPr>
            </w:pPr>
            <w:r>
              <w:rPr>
                <w:b/>
                <w:sz w:val="24"/>
              </w:rPr>
              <w:t>Authorship:</w:t>
            </w:r>
          </w:p>
        </w:tc>
        <w:tc>
          <w:tcPr>
            <w:tcW w:w="6693" w:type="dxa"/>
            <w:shd w:val="clear" w:color="auto" w:fill="B8CCE3"/>
          </w:tcPr>
          <w:p w14:paraId="06AFD8DC" w14:textId="76E6107D" w:rsidR="00556DDB" w:rsidRDefault="00CF76F3">
            <w:pPr>
              <w:pStyle w:val="TableParagraph"/>
              <w:rPr>
                <w:b/>
                <w:sz w:val="24"/>
              </w:rPr>
            </w:pPr>
            <w:r>
              <w:rPr>
                <w:b/>
                <w:sz w:val="24"/>
              </w:rPr>
              <w:t>Governance and Compliance Team</w:t>
            </w:r>
          </w:p>
        </w:tc>
      </w:tr>
      <w:tr w:rsidR="00556DDB" w14:paraId="20CB3900" w14:textId="77777777">
        <w:trPr>
          <w:trHeight w:val="412"/>
        </w:trPr>
        <w:tc>
          <w:tcPr>
            <w:tcW w:w="3654" w:type="dxa"/>
            <w:shd w:val="clear" w:color="auto" w:fill="DBE4F0"/>
          </w:tcPr>
          <w:p w14:paraId="7F135567" w14:textId="77777777" w:rsidR="00556DDB" w:rsidRDefault="00C51ED5">
            <w:pPr>
              <w:pStyle w:val="TableParagraph"/>
              <w:ind w:left="107"/>
              <w:rPr>
                <w:b/>
                <w:sz w:val="24"/>
              </w:rPr>
            </w:pPr>
            <w:r>
              <w:rPr>
                <w:b/>
                <w:sz w:val="24"/>
              </w:rPr>
              <w:t>Board / Committee Approval:</w:t>
            </w:r>
          </w:p>
        </w:tc>
        <w:tc>
          <w:tcPr>
            <w:tcW w:w="6693" w:type="dxa"/>
            <w:shd w:val="clear" w:color="auto" w:fill="DBE4F0"/>
          </w:tcPr>
          <w:p w14:paraId="23C03C04" w14:textId="77777777" w:rsidR="00556DDB" w:rsidRDefault="00C51ED5">
            <w:pPr>
              <w:pStyle w:val="TableParagraph"/>
              <w:rPr>
                <w:b/>
                <w:sz w:val="24"/>
              </w:rPr>
            </w:pPr>
            <w:r>
              <w:rPr>
                <w:b/>
                <w:sz w:val="24"/>
              </w:rPr>
              <w:t>Integrated Care Board</w:t>
            </w:r>
          </w:p>
        </w:tc>
      </w:tr>
      <w:tr w:rsidR="00556DDB" w14:paraId="5D5EBF08" w14:textId="77777777">
        <w:trPr>
          <w:trHeight w:val="414"/>
        </w:trPr>
        <w:tc>
          <w:tcPr>
            <w:tcW w:w="3654" w:type="dxa"/>
            <w:shd w:val="clear" w:color="auto" w:fill="B8CCE3"/>
          </w:tcPr>
          <w:p w14:paraId="2F567CC8" w14:textId="77777777" w:rsidR="00556DDB" w:rsidRDefault="00C51ED5">
            <w:pPr>
              <w:pStyle w:val="TableParagraph"/>
              <w:ind w:left="107"/>
              <w:rPr>
                <w:b/>
                <w:sz w:val="24"/>
              </w:rPr>
            </w:pPr>
            <w:r>
              <w:rPr>
                <w:b/>
                <w:sz w:val="24"/>
              </w:rPr>
              <w:t>Approved date:</w:t>
            </w:r>
          </w:p>
        </w:tc>
        <w:tc>
          <w:tcPr>
            <w:tcW w:w="6693" w:type="dxa"/>
            <w:shd w:val="clear" w:color="auto" w:fill="B8CCE3"/>
          </w:tcPr>
          <w:p w14:paraId="23FDDEF2" w14:textId="3F2BE891" w:rsidR="00556DDB" w:rsidRDefault="00652D32">
            <w:pPr>
              <w:pStyle w:val="TableParagraph"/>
              <w:rPr>
                <w:b/>
                <w:sz w:val="24"/>
              </w:rPr>
            </w:pPr>
            <w:r w:rsidRPr="00652D32">
              <w:rPr>
                <w:b/>
                <w:sz w:val="24"/>
              </w:rPr>
              <w:t>July 2025</w:t>
            </w:r>
          </w:p>
        </w:tc>
      </w:tr>
      <w:tr w:rsidR="00556DDB" w14:paraId="46411998" w14:textId="77777777">
        <w:trPr>
          <w:trHeight w:val="414"/>
        </w:trPr>
        <w:tc>
          <w:tcPr>
            <w:tcW w:w="3654" w:type="dxa"/>
            <w:shd w:val="clear" w:color="auto" w:fill="DBE4F0"/>
          </w:tcPr>
          <w:p w14:paraId="16D37CEF" w14:textId="77777777" w:rsidR="00556DDB" w:rsidRDefault="00C51ED5">
            <w:pPr>
              <w:pStyle w:val="TableParagraph"/>
              <w:ind w:left="107"/>
              <w:rPr>
                <w:b/>
                <w:sz w:val="24"/>
              </w:rPr>
            </w:pPr>
            <w:r>
              <w:rPr>
                <w:b/>
                <w:sz w:val="24"/>
              </w:rPr>
              <w:t>Review Date:</w:t>
            </w:r>
          </w:p>
        </w:tc>
        <w:tc>
          <w:tcPr>
            <w:tcW w:w="6693" w:type="dxa"/>
            <w:shd w:val="clear" w:color="auto" w:fill="DBE4F0"/>
          </w:tcPr>
          <w:p w14:paraId="4A6CAD4C" w14:textId="50DF42AA" w:rsidR="00556DDB" w:rsidRDefault="005859AB">
            <w:pPr>
              <w:pStyle w:val="TableParagraph"/>
              <w:rPr>
                <w:b/>
                <w:sz w:val="24"/>
              </w:rPr>
            </w:pPr>
            <w:r>
              <w:rPr>
                <w:b/>
                <w:sz w:val="24"/>
              </w:rPr>
              <w:t>June 2026</w:t>
            </w:r>
          </w:p>
        </w:tc>
      </w:tr>
      <w:tr w:rsidR="00556DDB" w14:paraId="7E4AAC5C" w14:textId="77777777" w:rsidTr="00773F3A">
        <w:trPr>
          <w:trHeight w:val="926"/>
        </w:trPr>
        <w:tc>
          <w:tcPr>
            <w:tcW w:w="3654" w:type="dxa"/>
            <w:shd w:val="clear" w:color="auto" w:fill="B8CCE3"/>
          </w:tcPr>
          <w:p w14:paraId="4A7FC604" w14:textId="77777777" w:rsidR="00556DDB" w:rsidRDefault="00C51ED5">
            <w:pPr>
              <w:pStyle w:val="TableParagraph"/>
              <w:ind w:left="107"/>
              <w:rPr>
                <w:b/>
                <w:sz w:val="24"/>
              </w:rPr>
            </w:pPr>
            <w:r>
              <w:rPr>
                <w:b/>
                <w:sz w:val="24"/>
              </w:rPr>
              <w:t>Target Audience:</w:t>
            </w:r>
          </w:p>
        </w:tc>
        <w:tc>
          <w:tcPr>
            <w:tcW w:w="6693" w:type="dxa"/>
            <w:shd w:val="clear" w:color="auto" w:fill="B8CCE3"/>
          </w:tcPr>
          <w:p w14:paraId="22DC7394" w14:textId="77777777" w:rsidR="00556DDB" w:rsidRDefault="00C51ED5">
            <w:pPr>
              <w:pStyle w:val="TableParagraph"/>
              <w:ind w:right="116"/>
              <w:rPr>
                <w:b/>
                <w:sz w:val="24"/>
              </w:rPr>
            </w:pPr>
            <w:r>
              <w:rPr>
                <w:b/>
                <w:sz w:val="24"/>
              </w:rPr>
              <w:t>Integrated Care Board, Integrated Care Partnership, Committees and Sub-Committees, ICB Staff, agency and temporary staff &amp; third parties under contract</w:t>
            </w:r>
          </w:p>
        </w:tc>
      </w:tr>
      <w:tr w:rsidR="00556DDB" w14:paraId="721BF629" w14:textId="77777777">
        <w:trPr>
          <w:trHeight w:val="414"/>
        </w:trPr>
        <w:tc>
          <w:tcPr>
            <w:tcW w:w="3654" w:type="dxa"/>
            <w:shd w:val="clear" w:color="auto" w:fill="B8CCE3"/>
          </w:tcPr>
          <w:p w14:paraId="168D4A81" w14:textId="77777777" w:rsidR="00556DDB" w:rsidRDefault="00C51ED5">
            <w:pPr>
              <w:pStyle w:val="TableParagraph"/>
              <w:spacing w:before="2"/>
              <w:ind w:left="107"/>
              <w:rPr>
                <w:b/>
                <w:sz w:val="24"/>
              </w:rPr>
            </w:pPr>
            <w:r>
              <w:rPr>
                <w:b/>
                <w:sz w:val="24"/>
              </w:rPr>
              <w:t>Version Number:</w:t>
            </w:r>
          </w:p>
        </w:tc>
        <w:tc>
          <w:tcPr>
            <w:tcW w:w="6693" w:type="dxa"/>
            <w:shd w:val="clear" w:color="auto" w:fill="B8CCE3"/>
          </w:tcPr>
          <w:p w14:paraId="456FEE76" w14:textId="45D0C512" w:rsidR="00556DDB" w:rsidRDefault="003018EA">
            <w:pPr>
              <w:pStyle w:val="TableParagraph"/>
              <w:spacing w:before="2"/>
              <w:rPr>
                <w:b/>
                <w:sz w:val="24"/>
              </w:rPr>
            </w:pPr>
            <w:r>
              <w:rPr>
                <w:b/>
                <w:sz w:val="24"/>
              </w:rPr>
              <w:t>3</w:t>
            </w:r>
            <w:r w:rsidR="00C51ED5">
              <w:rPr>
                <w:b/>
                <w:sz w:val="24"/>
              </w:rPr>
              <w:t>.0</w:t>
            </w:r>
          </w:p>
        </w:tc>
      </w:tr>
    </w:tbl>
    <w:p w14:paraId="35BF862B" w14:textId="77777777" w:rsidR="00556DDB" w:rsidRDefault="00556DDB">
      <w:pPr>
        <w:pStyle w:val="BodyText"/>
        <w:rPr>
          <w:b/>
          <w:sz w:val="20"/>
        </w:rPr>
      </w:pPr>
    </w:p>
    <w:p w14:paraId="0F8B0274" w14:textId="77777777" w:rsidR="00556DDB" w:rsidRDefault="00556DDB">
      <w:pPr>
        <w:pStyle w:val="BodyText"/>
        <w:rPr>
          <w:b/>
          <w:sz w:val="20"/>
        </w:rPr>
      </w:pPr>
    </w:p>
    <w:p w14:paraId="62E9E605" w14:textId="77777777" w:rsidR="00556DDB" w:rsidRPr="00A20E49" w:rsidRDefault="00C51ED5" w:rsidP="00A20E49">
      <w:pPr>
        <w:jc w:val="center"/>
        <w:rPr>
          <w:b/>
          <w:bCs/>
          <w:sz w:val="24"/>
          <w:szCs w:val="24"/>
        </w:rPr>
      </w:pPr>
      <w:r w:rsidRPr="00A20E49">
        <w:rPr>
          <w:b/>
          <w:bCs/>
          <w:sz w:val="24"/>
          <w:szCs w:val="24"/>
        </w:rPr>
        <w:t>The online version is the only version that is maintained.</w:t>
      </w:r>
    </w:p>
    <w:p w14:paraId="422A2B67" w14:textId="1991EB71" w:rsidR="00556DDB" w:rsidRPr="00A20E49" w:rsidRDefault="00C51ED5" w:rsidP="00A20E49">
      <w:pPr>
        <w:jc w:val="center"/>
        <w:rPr>
          <w:b/>
          <w:bCs/>
          <w:sz w:val="24"/>
          <w:szCs w:val="24"/>
        </w:rPr>
      </w:pPr>
      <w:r w:rsidRPr="00A20E49">
        <w:rPr>
          <w:b/>
          <w:bCs/>
          <w:sz w:val="24"/>
          <w:szCs w:val="24"/>
        </w:rPr>
        <w:t>Any printed copies should, therefore, be viewed as ‘</w:t>
      </w:r>
      <w:r w:rsidR="00F758E4" w:rsidRPr="00A20E49">
        <w:rPr>
          <w:b/>
          <w:bCs/>
          <w:sz w:val="24"/>
          <w:szCs w:val="24"/>
        </w:rPr>
        <w:t>uncontrolled’.</w:t>
      </w:r>
    </w:p>
    <w:p w14:paraId="66CFE33C" w14:textId="77777777" w:rsidR="00556DDB" w:rsidRPr="00A20E49" w:rsidRDefault="00C51ED5" w:rsidP="00A20E49">
      <w:pPr>
        <w:jc w:val="center"/>
        <w:rPr>
          <w:b/>
          <w:sz w:val="24"/>
          <w:szCs w:val="24"/>
        </w:rPr>
      </w:pPr>
      <w:r w:rsidRPr="00A20E49">
        <w:rPr>
          <w:b/>
          <w:bCs/>
          <w:sz w:val="24"/>
          <w:szCs w:val="24"/>
        </w:rPr>
        <w:t>and as such may not necessarily contain the latest updates and amendments</w:t>
      </w:r>
      <w:r w:rsidRPr="00A20E49">
        <w:rPr>
          <w:b/>
          <w:sz w:val="24"/>
          <w:szCs w:val="24"/>
        </w:rPr>
        <w:t>.</w:t>
      </w:r>
    </w:p>
    <w:p w14:paraId="0FDD1932" w14:textId="77777777" w:rsidR="00556DDB" w:rsidRDefault="00556DDB">
      <w:pPr>
        <w:jc w:val="center"/>
        <w:rPr>
          <w:b/>
          <w:bCs/>
          <w:sz w:val="24"/>
          <w:szCs w:val="24"/>
        </w:rPr>
      </w:pPr>
    </w:p>
    <w:p w14:paraId="4AE26FD0" w14:textId="77777777" w:rsidR="00A20E49" w:rsidRPr="00A20E49" w:rsidRDefault="00A20E49" w:rsidP="00A20E49"/>
    <w:p w14:paraId="4EC4945C" w14:textId="77777777" w:rsidR="00A20E49" w:rsidRPr="00A20E49" w:rsidRDefault="00A20E49" w:rsidP="00A20E49"/>
    <w:p w14:paraId="505B26F0" w14:textId="77777777" w:rsidR="00A20E49" w:rsidRPr="00A20E49" w:rsidRDefault="00A20E49" w:rsidP="00A20E49"/>
    <w:p w14:paraId="796E4A31" w14:textId="77777777" w:rsidR="00A20E49" w:rsidRDefault="00A20E49" w:rsidP="00A20E49">
      <w:pPr>
        <w:jc w:val="center"/>
        <w:rPr>
          <w:b/>
          <w:bCs/>
          <w:sz w:val="24"/>
          <w:szCs w:val="24"/>
        </w:rPr>
      </w:pPr>
    </w:p>
    <w:p w14:paraId="504D6650" w14:textId="77777777" w:rsidR="00A20E49" w:rsidRPr="00A20E49" w:rsidRDefault="00A20E49" w:rsidP="00A20E49">
      <w:pPr>
        <w:tabs>
          <w:tab w:val="center" w:pos="5295"/>
        </w:tabs>
        <w:sectPr w:rsidR="00A20E49" w:rsidRPr="00A20E49" w:rsidSect="008E67B0">
          <w:footerReference w:type="default" r:id="rId10"/>
          <w:type w:val="continuous"/>
          <w:pgSz w:w="11930" w:h="16850"/>
          <w:pgMar w:top="1600" w:right="620" w:bottom="980" w:left="720" w:header="225" w:footer="373" w:gutter="0"/>
          <w:pgNumType w:start="1"/>
          <w:cols w:space="720"/>
        </w:sectPr>
      </w:pPr>
      <w:r>
        <w:tab/>
      </w:r>
    </w:p>
    <w:p w14:paraId="53AB1CDB" w14:textId="77777777" w:rsidR="00556DDB" w:rsidRDefault="00C51ED5">
      <w:pPr>
        <w:spacing w:before="94"/>
        <w:ind w:left="786" w:right="883"/>
        <w:jc w:val="center"/>
        <w:rPr>
          <w:b/>
        </w:rPr>
      </w:pPr>
      <w:r>
        <w:rPr>
          <w:b/>
        </w:rPr>
        <w:lastRenderedPageBreak/>
        <w:t>POLICY AMENDMENTS</w:t>
      </w:r>
    </w:p>
    <w:p w14:paraId="667EEF5F" w14:textId="77777777" w:rsidR="00556DDB" w:rsidRDefault="00556DDB">
      <w:pPr>
        <w:pStyle w:val="BodyText"/>
        <w:rPr>
          <w:b/>
          <w:sz w:val="22"/>
        </w:rPr>
      </w:pPr>
    </w:p>
    <w:p w14:paraId="2EB20C58" w14:textId="2A2E8DAD" w:rsidR="00556DDB" w:rsidRDefault="00C51ED5" w:rsidP="00844418">
      <w:pPr>
        <w:pStyle w:val="BodyText"/>
        <w:spacing w:before="1"/>
        <w:ind w:left="100" w:right="-11"/>
      </w:pPr>
      <w:r>
        <w:t xml:space="preserve">Amendments to the </w:t>
      </w:r>
      <w:r w:rsidR="00F758E4">
        <w:t xml:space="preserve">document </w:t>
      </w:r>
      <w:r>
        <w:t>will be issued from time to time. A new amendment history will be issued with each change.</w:t>
      </w:r>
    </w:p>
    <w:p w14:paraId="65A090A7" w14:textId="77777777" w:rsidR="003E0725" w:rsidRDefault="003E0725">
      <w:pPr>
        <w:pStyle w:val="BodyText"/>
        <w:spacing w:before="1"/>
        <w:ind w:left="100" w:right="692"/>
      </w:pPr>
    </w:p>
    <w:tbl>
      <w:tblPr>
        <w:tblpPr w:leftFromText="180" w:rightFromText="180" w:vertAnchor="text" w:horzAnchor="margin" w:tblpY="12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1701"/>
        <w:gridCol w:w="1559"/>
        <w:gridCol w:w="1559"/>
        <w:gridCol w:w="1701"/>
        <w:gridCol w:w="1843"/>
      </w:tblGrid>
      <w:tr w:rsidR="00844418" w14:paraId="038F8475" w14:textId="77777777" w:rsidTr="00CA27FE">
        <w:trPr>
          <w:trHeight w:val="830"/>
        </w:trPr>
        <w:tc>
          <w:tcPr>
            <w:tcW w:w="1413" w:type="dxa"/>
            <w:shd w:val="clear" w:color="auto" w:fill="B8CCE3"/>
          </w:tcPr>
          <w:p w14:paraId="5EAD7942" w14:textId="468F640F" w:rsidR="003E0725" w:rsidRDefault="003E0725" w:rsidP="003E0725">
            <w:pPr>
              <w:pStyle w:val="TableParagraph"/>
              <w:spacing w:before="2" w:line="270" w:lineRule="atLeast"/>
              <w:ind w:right="228"/>
              <w:rPr>
                <w:b/>
                <w:sz w:val="24"/>
              </w:rPr>
            </w:pPr>
            <w:r>
              <w:rPr>
                <w:b/>
                <w:sz w:val="24"/>
              </w:rPr>
              <w:t xml:space="preserve">New </w:t>
            </w:r>
            <w:r w:rsidR="00537E28">
              <w:rPr>
                <w:b/>
                <w:sz w:val="24"/>
              </w:rPr>
              <w:t>v</w:t>
            </w:r>
            <w:r>
              <w:rPr>
                <w:b/>
                <w:sz w:val="24"/>
              </w:rPr>
              <w:t xml:space="preserve">ersion </w:t>
            </w:r>
            <w:r w:rsidR="00537E28">
              <w:rPr>
                <w:b/>
                <w:sz w:val="24"/>
              </w:rPr>
              <w:t>n</w:t>
            </w:r>
            <w:r>
              <w:rPr>
                <w:b/>
                <w:sz w:val="24"/>
              </w:rPr>
              <w:t>umber</w:t>
            </w:r>
          </w:p>
        </w:tc>
        <w:tc>
          <w:tcPr>
            <w:tcW w:w="1701" w:type="dxa"/>
            <w:shd w:val="clear" w:color="auto" w:fill="B8CCE3"/>
          </w:tcPr>
          <w:p w14:paraId="4011C878" w14:textId="77777777" w:rsidR="003E0725" w:rsidRDefault="003E0725" w:rsidP="003E0725">
            <w:pPr>
              <w:pStyle w:val="TableParagraph"/>
              <w:spacing w:before="2"/>
              <w:ind w:right="389"/>
              <w:rPr>
                <w:b/>
                <w:sz w:val="24"/>
              </w:rPr>
            </w:pPr>
            <w:r>
              <w:rPr>
                <w:b/>
                <w:sz w:val="24"/>
              </w:rPr>
              <w:t>Issued by</w:t>
            </w:r>
          </w:p>
        </w:tc>
        <w:tc>
          <w:tcPr>
            <w:tcW w:w="1559" w:type="dxa"/>
            <w:shd w:val="clear" w:color="auto" w:fill="B8CCE3"/>
          </w:tcPr>
          <w:p w14:paraId="0544883A" w14:textId="0A29DEC9" w:rsidR="003E0725" w:rsidRDefault="003E0725" w:rsidP="003E0725">
            <w:pPr>
              <w:pStyle w:val="TableParagraph"/>
              <w:spacing w:before="2"/>
              <w:ind w:left="104"/>
              <w:rPr>
                <w:b/>
                <w:sz w:val="24"/>
              </w:rPr>
            </w:pPr>
            <w:r>
              <w:rPr>
                <w:b/>
                <w:sz w:val="24"/>
              </w:rPr>
              <w:t xml:space="preserve">Nature of </w:t>
            </w:r>
            <w:r w:rsidR="00537E28">
              <w:rPr>
                <w:b/>
                <w:sz w:val="24"/>
              </w:rPr>
              <w:t>a</w:t>
            </w:r>
            <w:r>
              <w:rPr>
                <w:b/>
                <w:sz w:val="24"/>
              </w:rPr>
              <w:t>mendment</w:t>
            </w:r>
          </w:p>
        </w:tc>
        <w:tc>
          <w:tcPr>
            <w:tcW w:w="1559" w:type="dxa"/>
            <w:shd w:val="clear" w:color="auto" w:fill="B8CCE3"/>
          </w:tcPr>
          <w:p w14:paraId="312ACA60" w14:textId="5C266038" w:rsidR="003E0725" w:rsidRDefault="003E0725" w:rsidP="003E0725">
            <w:pPr>
              <w:pStyle w:val="TableParagraph"/>
              <w:spacing w:before="2"/>
              <w:ind w:left="104" w:right="84"/>
              <w:rPr>
                <w:b/>
                <w:sz w:val="24"/>
              </w:rPr>
            </w:pPr>
            <w:r>
              <w:rPr>
                <w:b/>
                <w:sz w:val="24"/>
              </w:rPr>
              <w:t xml:space="preserve">Approving </w:t>
            </w:r>
            <w:r w:rsidR="00537E28">
              <w:rPr>
                <w:b/>
                <w:sz w:val="24"/>
              </w:rPr>
              <w:t>b</w:t>
            </w:r>
            <w:r>
              <w:rPr>
                <w:b/>
                <w:sz w:val="24"/>
              </w:rPr>
              <w:t>ody</w:t>
            </w:r>
          </w:p>
        </w:tc>
        <w:tc>
          <w:tcPr>
            <w:tcW w:w="1701" w:type="dxa"/>
            <w:shd w:val="clear" w:color="auto" w:fill="B8CCE3"/>
          </w:tcPr>
          <w:p w14:paraId="51A28C48" w14:textId="6A2E80A8" w:rsidR="003E0725" w:rsidRDefault="003E0725" w:rsidP="003E0725">
            <w:pPr>
              <w:pStyle w:val="TableParagraph"/>
              <w:spacing w:before="2"/>
              <w:ind w:right="240"/>
              <w:rPr>
                <w:b/>
                <w:sz w:val="24"/>
              </w:rPr>
            </w:pPr>
            <w:r>
              <w:rPr>
                <w:b/>
                <w:sz w:val="24"/>
              </w:rPr>
              <w:t xml:space="preserve">Approval </w:t>
            </w:r>
            <w:r w:rsidR="00537E28">
              <w:rPr>
                <w:b/>
                <w:sz w:val="24"/>
              </w:rPr>
              <w:t>d</w:t>
            </w:r>
            <w:r>
              <w:rPr>
                <w:b/>
                <w:sz w:val="24"/>
              </w:rPr>
              <w:t>ate</w:t>
            </w:r>
          </w:p>
        </w:tc>
        <w:tc>
          <w:tcPr>
            <w:tcW w:w="1843" w:type="dxa"/>
            <w:shd w:val="clear" w:color="auto" w:fill="B8CCE3"/>
          </w:tcPr>
          <w:p w14:paraId="63EC83F7" w14:textId="1AC364A6" w:rsidR="003E0725" w:rsidRDefault="003E0725" w:rsidP="003E0725">
            <w:pPr>
              <w:pStyle w:val="TableParagraph"/>
              <w:spacing w:before="2" w:line="270" w:lineRule="atLeast"/>
              <w:ind w:right="283"/>
              <w:rPr>
                <w:b/>
                <w:sz w:val="24"/>
              </w:rPr>
            </w:pPr>
            <w:r>
              <w:rPr>
                <w:b/>
                <w:sz w:val="24"/>
              </w:rPr>
              <w:t xml:space="preserve">Date </w:t>
            </w:r>
            <w:r w:rsidR="00537E28">
              <w:rPr>
                <w:b/>
                <w:sz w:val="24"/>
              </w:rPr>
              <w:t>p</w:t>
            </w:r>
            <w:r>
              <w:rPr>
                <w:b/>
                <w:sz w:val="24"/>
              </w:rPr>
              <w:t xml:space="preserve">ublished on </w:t>
            </w:r>
            <w:r w:rsidR="00537E28">
              <w:rPr>
                <w:b/>
                <w:sz w:val="24"/>
              </w:rPr>
              <w:t>w</w:t>
            </w:r>
            <w:r>
              <w:rPr>
                <w:b/>
                <w:sz w:val="24"/>
              </w:rPr>
              <w:t>ebsite</w:t>
            </w:r>
          </w:p>
        </w:tc>
      </w:tr>
      <w:tr w:rsidR="003E0725" w14:paraId="174E9163" w14:textId="77777777" w:rsidTr="00CA27FE">
        <w:trPr>
          <w:trHeight w:val="849"/>
        </w:trPr>
        <w:tc>
          <w:tcPr>
            <w:tcW w:w="1413" w:type="dxa"/>
          </w:tcPr>
          <w:p w14:paraId="33D93B4B" w14:textId="77777777" w:rsidR="003E0725" w:rsidRDefault="003E0725" w:rsidP="00537E28">
            <w:pPr>
              <w:pStyle w:val="TableParagraph"/>
              <w:ind w:left="520" w:right="514"/>
              <w:rPr>
                <w:sz w:val="24"/>
              </w:rPr>
            </w:pPr>
            <w:r>
              <w:rPr>
                <w:sz w:val="24"/>
              </w:rPr>
              <w:t>1.0</w:t>
            </w:r>
          </w:p>
        </w:tc>
        <w:tc>
          <w:tcPr>
            <w:tcW w:w="1701" w:type="dxa"/>
          </w:tcPr>
          <w:p w14:paraId="2FC48E54" w14:textId="77777777" w:rsidR="003E0725" w:rsidRDefault="003E0725" w:rsidP="003E0725">
            <w:pPr>
              <w:pStyle w:val="TableParagraph"/>
              <w:ind w:right="99"/>
              <w:rPr>
                <w:sz w:val="24"/>
              </w:rPr>
            </w:pPr>
            <w:r>
              <w:rPr>
                <w:sz w:val="24"/>
              </w:rPr>
              <w:t>Executive Director of Corporate</w:t>
            </w:r>
          </w:p>
          <w:p w14:paraId="2294FD71" w14:textId="77777777" w:rsidR="003E0725" w:rsidRDefault="003E0725" w:rsidP="003E0725">
            <w:pPr>
              <w:pStyle w:val="TableParagraph"/>
              <w:spacing w:before="1" w:line="255" w:lineRule="exact"/>
              <w:rPr>
                <w:sz w:val="24"/>
              </w:rPr>
            </w:pPr>
            <w:r>
              <w:rPr>
                <w:sz w:val="24"/>
              </w:rPr>
              <w:t>Affairs</w:t>
            </w:r>
          </w:p>
        </w:tc>
        <w:tc>
          <w:tcPr>
            <w:tcW w:w="1559" w:type="dxa"/>
          </w:tcPr>
          <w:p w14:paraId="48CB921F" w14:textId="77777777" w:rsidR="003E0725" w:rsidRDefault="003E0725" w:rsidP="003E0725">
            <w:pPr>
              <w:pStyle w:val="TableParagraph"/>
              <w:ind w:left="104"/>
              <w:rPr>
                <w:sz w:val="24"/>
              </w:rPr>
            </w:pPr>
            <w:r>
              <w:rPr>
                <w:sz w:val="24"/>
              </w:rPr>
              <w:t>New Document</w:t>
            </w:r>
          </w:p>
        </w:tc>
        <w:tc>
          <w:tcPr>
            <w:tcW w:w="1559" w:type="dxa"/>
          </w:tcPr>
          <w:p w14:paraId="44B18056" w14:textId="77777777" w:rsidR="003E0725" w:rsidRDefault="003E0725" w:rsidP="003E0725">
            <w:pPr>
              <w:pStyle w:val="TableParagraph"/>
              <w:ind w:left="104"/>
              <w:rPr>
                <w:sz w:val="24"/>
              </w:rPr>
            </w:pPr>
            <w:r>
              <w:rPr>
                <w:sz w:val="24"/>
              </w:rPr>
              <w:t>ICB Board</w:t>
            </w:r>
          </w:p>
        </w:tc>
        <w:tc>
          <w:tcPr>
            <w:tcW w:w="1701" w:type="dxa"/>
          </w:tcPr>
          <w:p w14:paraId="68952B3F" w14:textId="77777777" w:rsidR="003E0725" w:rsidRDefault="003E0725" w:rsidP="003E0725">
            <w:pPr>
              <w:pStyle w:val="TableParagraph"/>
              <w:rPr>
                <w:sz w:val="24"/>
              </w:rPr>
            </w:pPr>
            <w:r>
              <w:rPr>
                <w:sz w:val="24"/>
              </w:rPr>
              <w:t>01/07/22</w:t>
            </w:r>
          </w:p>
        </w:tc>
        <w:tc>
          <w:tcPr>
            <w:tcW w:w="1843" w:type="dxa"/>
          </w:tcPr>
          <w:p w14:paraId="3DA8FF15" w14:textId="77777777" w:rsidR="003E0725" w:rsidRDefault="003E0725" w:rsidP="003E0725">
            <w:pPr>
              <w:pStyle w:val="TableParagraph"/>
              <w:rPr>
                <w:sz w:val="24"/>
              </w:rPr>
            </w:pPr>
            <w:r>
              <w:rPr>
                <w:sz w:val="24"/>
              </w:rPr>
              <w:t>01/07/22</w:t>
            </w:r>
          </w:p>
        </w:tc>
      </w:tr>
      <w:tr w:rsidR="003E0725" w14:paraId="408F87FD" w14:textId="77777777" w:rsidTr="00CA27FE">
        <w:trPr>
          <w:trHeight w:val="688"/>
        </w:trPr>
        <w:tc>
          <w:tcPr>
            <w:tcW w:w="1413" w:type="dxa"/>
          </w:tcPr>
          <w:p w14:paraId="3C2C44C1" w14:textId="77777777" w:rsidR="003E0725" w:rsidRPr="0074035B" w:rsidRDefault="003E0725" w:rsidP="003E0725">
            <w:pPr>
              <w:pStyle w:val="TableParagraph"/>
              <w:ind w:left="0"/>
              <w:jc w:val="center"/>
            </w:pPr>
            <w:r w:rsidRPr="0074035B">
              <w:t>2.0</w:t>
            </w:r>
          </w:p>
        </w:tc>
        <w:tc>
          <w:tcPr>
            <w:tcW w:w="1701" w:type="dxa"/>
          </w:tcPr>
          <w:p w14:paraId="09566606" w14:textId="77777777" w:rsidR="003E0725" w:rsidRDefault="003E0725" w:rsidP="003E0725">
            <w:pPr>
              <w:pStyle w:val="TableParagraph"/>
              <w:ind w:right="99"/>
              <w:rPr>
                <w:sz w:val="24"/>
              </w:rPr>
            </w:pPr>
            <w:r>
              <w:rPr>
                <w:sz w:val="24"/>
              </w:rPr>
              <w:t>Executive Director of Corporate</w:t>
            </w:r>
          </w:p>
          <w:p w14:paraId="5294B9B6" w14:textId="77777777" w:rsidR="003E0725" w:rsidRPr="0074035B" w:rsidRDefault="003E0725" w:rsidP="003E0725">
            <w:pPr>
              <w:pStyle w:val="TableParagraph"/>
              <w:ind w:left="0"/>
              <w:rPr>
                <w:sz w:val="24"/>
                <w:szCs w:val="24"/>
              </w:rPr>
            </w:pPr>
            <w:r>
              <w:rPr>
                <w:sz w:val="24"/>
              </w:rPr>
              <w:t xml:space="preserve"> Affairs</w:t>
            </w:r>
          </w:p>
        </w:tc>
        <w:tc>
          <w:tcPr>
            <w:tcW w:w="1559" w:type="dxa"/>
          </w:tcPr>
          <w:p w14:paraId="2EA56A89" w14:textId="77777777" w:rsidR="003E0725" w:rsidRPr="0074035B" w:rsidRDefault="003E0725" w:rsidP="00537E28">
            <w:pPr>
              <w:pStyle w:val="TableParagraph"/>
              <w:ind w:left="93"/>
              <w:rPr>
                <w:sz w:val="24"/>
                <w:szCs w:val="24"/>
              </w:rPr>
            </w:pPr>
            <w:r>
              <w:rPr>
                <w:sz w:val="24"/>
              </w:rPr>
              <w:t>Annual Review</w:t>
            </w:r>
          </w:p>
        </w:tc>
        <w:tc>
          <w:tcPr>
            <w:tcW w:w="1559" w:type="dxa"/>
          </w:tcPr>
          <w:p w14:paraId="1AF4E76F" w14:textId="77777777" w:rsidR="003E0725" w:rsidRPr="0074035B" w:rsidRDefault="003E0725" w:rsidP="003E0725">
            <w:pPr>
              <w:pStyle w:val="TableParagraph"/>
              <w:ind w:left="0"/>
              <w:rPr>
                <w:sz w:val="24"/>
                <w:szCs w:val="24"/>
              </w:rPr>
            </w:pPr>
            <w:r>
              <w:rPr>
                <w:sz w:val="24"/>
              </w:rPr>
              <w:t xml:space="preserve"> ICB Board</w:t>
            </w:r>
          </w:p>
        </w:tc>
        <w:tc>
          <w:tcPr>
            <w:tcW w:w="1701" w:type="dxa"/>
          </w:tcPr>
          <w:p w14:paraId="405F42C0" w14:textId="7ECAD2C0" w:rsidR="003E0725" w:rsidRPr="0074035B" w:rsidRDefault="00F758E4" w:rsidP="00537E28">
            <w:pPr>
              <w:pStyle w:val="TableParagraph"/>
              <w:ind w:left="0" w:firstLine="132"/>
              <w:rPr>
                <w:sz w:val="24"/>
                <w:szCs w:val="24"/>
              </w:rPr>
            </w:pPr>
            <w:r>
              <w:rPr>
                <w:sz w:val="24"/>
                <w:szCs w:val="24"/>
              </w:rPr>
              <w:t>08/05/2024</w:t>
            </w:r>
          </w:p>
        </w:tc>
        <w:tc>
          <w:tcPr>
            <w:tcW w:w="1843" w:type="dxa"/>
          </w:tcPr>
          <w:p w14:paraId="219086C9" w14:textId="7850A503" w:rsidR="003E0725" w:rsidRPr="0074035B" w:rsidRDefault="00F758E4" w:rsidP="00537E28">
            <w:pPr>
              <w:pStyle w:val="TableParagraph"/>
              <w:ind w:left="0" w:firstLine="142"/>
              <w:rPr>
                <w:sz w:val="24"/>
                <w:szCs w:val="24"/>
              </w:rPr>
            </w:pPr>
            <w:r>
              <w:rPr>
                <w:sz w:val="24"/>
                <w:szCs w:val="24"/>
              </w:rPr>
              <w:t>09/05/2024</w:t>
            </w:r>
          </w:p>
        </w:tc>
      </w:tr>
      <w:tr w:rsidR="00A24241" w14:paraId="0BDF84EF" w14:textId="77777777" w:rsidTr="00CA27FE">
        <w:trPr>
          <w:trHeight w:val="688"/>
        </w:trPr>
        <w:tc>
          <w:tcPr>
            <w:tcW w:w="1413" w:type="dxa"/>
          </w:tcPr>
          <w:p w14:paraId="226563BB" w14:textId="21B22604" w:rsidR="00A24241" w:rsidRPr="0074035B" w:rsidRDefault="00A24241" w:rsidP="00A24241">
            <w:pPr>
              <w:pStyle w:val="TableParagraph"/>
              <w:ind w:left="0"/>
              <w:jc w:val="center"/>
            </w:pPr>
            <w:r>
              <w:t>3.0</w:t>
            </w:r>
          </w:p>
        </w:tc>
        <w:tc>
          <w:tcPr>
            <w:tcW w:w="1701" w:type="dxa"/>
          </w:tcPr>
          <w:p w14:paraId="26AFB7E7" w14:textId="4A692126" w:rsidR="00A24241" w:rsidRDefault="00A24241" w:rsidP="00A24241">
            <w:pPr>
              <w:pStyle w:val="TableParagraph"/>
              <w:ind w:right="99"/>
              <w:rPr>
                <w:sz w:val="24"/>
              </w:rPr>
            </w:pPr>
            <w:r>
              <w:rPr>
                <w:sz w:val="24"/>
              </w:rPr>
              <w:t>Executive Director of Corporate Affairs</w:t>
            </w:r>
          </w:p>
        </w:tc>
        <w:tc>
          <w:tcPr>
            <w:tcW w:w="1559" w:type="dxa"/>
          </w:tcPr>
          <w:p w14:paraId="3E2EF0E2" w14:textId="3E298366" w:rsidR="00A24241" w:rsidRDefault="00A24241" w:rsidP="00A24241">
            <w:pPr>
              <w:pStyle w:val="TableParagraph"/>
              <w:ind w:left="93"/>
              <w:rPr>
                <w:sz w:val="24"/>
              </w:rPr>
            </w:pPr>
            <w:r>
              <w:rPr>
                <w:sz w:val="24"/>
              </w:rPr>
              <w:t>Annual Review</w:t>
            </w:r>
          </w:p>
        </w:tc>
        <w:tc>
          <w:tcPr>
            <w:tcW w:w="1559" w:type="dxa"/>
          </w:tcPr>
          <w:p w14:paraId="29DBF162" w14:textId="59A2BCAA" w:rsidR="00A24241" w:rsidRDefault="00A24241" w:rsidP="00A24241">
            <w:pPr>
              <w:pStyle w:val="TableParagraph"/>
              <w:ind w:left="0"/>
              <w:rPr>
                <w:sz w:val="24"/>
              </w:rPr>
            </w:pPr>
            <w:r>
              <w:rPr>
                <w:sz w:val="24"/>
              </w:rPr>
              <w:t>ICB Board</w:t>
            </w:r>
          </w:p>
        </w:tc>
        <w:tc>
          <w:tcPr>
            <w:tcW w:w="1701" w:type="dxa"/>
          </w:tcPr>
          <w:p w14:paraId="75C809ED" w14:textId="1E4198CF" w:rsidR="00A24241" w:rsidRPr="00B87602" w:rsidRDefault="00B87602" w:rsidP="00A24241">
            <w:pPr>
              <w:pStyle w:val="TableParagraph"/>
              <w:ind w:left="0" w:firstLine="132"/>
              <w:rPr>
                <w:sz w:val="24"/>
                <w:szCs w:val="24"/>
              </w:rPr>
            </w:pPr>
            <w:r w:rsidRPr="00B87602">
              <w:rPr>
                <w:sz w:val="24"/>
                <w:szCs w:val="24"/>
              </w:rPr>
              <w:t>09/07/2025</w:t>
            </w:r>
          </w:p>
        </w:tc>
        <w:tc>
          <w:tcPr>
            <w:tcW w:w="1843" w:type="dxa"/>
          </w:tcPr>
          <w:p w14:paraId="1631B453" w14:textId="37F719C1" w:rsidR="00A24241" w:rsidRPr="00B87602" w:rsidRDefault="004E0FBB" w:rsidP="00A24241">
            <w:pPr>
              <w:pStyle w:val="TableParagraph"/>
              <w:ind w:left="0" w:firstLine="142"/>
              <w:rPr>
                <w:sz w:val="24"/>
                <w:szCs w:val="24"/>
              </w:rPr>
            </w:pPr>
            <w:r>
              <w:rPr>
                <w:sz w:val="24"/>
                <w:szCs w:val="24"/>
              </w:rPr>
              <w:t>16/07/2025</w:t>
            </w:r>
          </w:p>
        </w:tc>
      </w:tr>
    </w:tbl>
    <w:p w14:paraId="7F9056F8" w14:textId="77777777" w:rsidR="00556DDB" w:rsidRDefault="00556DDB">
      <w:pPr>
        <w:pStyle w:val="BodyText"/>
        <w:spacing w:before="9" w:after="1"/>
        <w:rPr>
          <w:sz w:val="21"/>
        </w:rPr>
      </w:pPr>
    </w:p>
    <w:p w14:paraId="03E177CB" w14:textId="77777777" w:rsidR="00556DDB" w:rsidRDefault="00556DDB">
      <w:pPr>
        <w:rPr>
          <w:rFonts w:ascii="Times New Roman"/>
        </w:rPr>
      </w:pPr>
    </w:p>
    <w:p w14:paraId="295DB857" w14:textId="77777777" w:rsidR="00E73A9C" w:rsidRPr="00E73A9C" w:rsidRDefault="00E73A9C" w:rsidP="00E73A9C">
      <w:pPr>
        <w:rPr>
          <w:rFonts w:ascii="Times New Roman"/>
        </w:rPr>
      </w:pPr>
    </w:p>
    <w:p w14:paraId="52522C49" w14:textId="77777777" w:rsidR="00E73A9C" w:rsidRPr="00E73A9C" w:rsidRDefault="00E73A9C" w:rsidP="00E73A9C">
      <w:pPr>
        <w:rPr>
          <w:rFonts w:ascii="Times New Roman"/>
        </w:rPr>
      </w:pPr>
    </w:p>
    <w:p w14:paraId="1BD28810" w14:textId="77777777" w:rsidR="00E73A9C" w:rsidRPr="00E73A9C" w:rsidRDefault="00E73A9C" w:rsidP="00E73A9C">
      <w:pPr>
        <w:rPr>
          <w:rFonts w:ascii="Times New Roman"/>
        </w:rPr>
      </w:pPr>
    </w:p>
    <w:p w14:paraId="6CBC7D04" w14:textId="77777777" w:rsidR="00E73A9C" w:rsidRPr="00E73A9C" w:rsidRDefault="00E73A9C" w:rsidP="00E73A9C">
      <w:pPr>
        <w:rPr>
          <w:rFonts w:ascii="Times New Roman"/>
        </w:rPr>
      </w:pPr>
    </w:p>
    <w:p w14:paraId="3E7E3F81" w14:textId="77777777" w:rsidR="00E73A9C" w:rsidRPr="00E73A9C" w:rsidRDefault="00E73A9C" w:rsidP="00E73A9C">
      <w:pPr>
        <w:rPr>
          <w:rFonts w:ascii="Times New Roman"/>
        </w:rPr>
      </w:pPr>
    </w:p>
    <w:p w14:paraId="01E7A83B" w14:textId="77777777" w:rsidR="00E73A9C" w:rsidRPr="00E73A9C" w:rsidRDefault="00E73A9C" w:rsidP="00E73A9C">
      <w:pPr>
        <w:rPr>
          <w:rFonts w:ascii="Times New Roman"/>
        </w:rPr>
      </w:pPr>
    </w:p>
    <w:p w14:paraId="04CE0AC7" w14:textId="77777777" w:rsidR="00E73A9C" w:rsidRPr="00E73A9C" w:rsidRDefault="00E73A9C" w:rsidP="00E73A9C">
      <w:pPr>
        <w:rPr>
          <w:rFonts w:ascii="Times New Roman"/>
        </w:rPr>
      </w:pPr>
    </w:p>
    <w:p w14:paraId="20D355A4" w14:textId="77777777" w:rsidR="00E73A9C" w:rsidRPr="00E73A9C" w:rsidRDefault="00E73A9C" w:rsidP="00E73A9C">
      <w:pPr>
        <w:rPr>
          <w:rFonts w:ascii="Times New Roman"/>
        </w:rPr>
      </w:pPr>
    </w:p>
    <w:p w14:paraId="3767EC09" w14:textId="77777777" w:rsidR="00E73A9C" w:rsidRPr="00E73A9C" w:rsidRDefault="00E73A9C" w:rsidP="00E73A9C">
      <w:pPr>
        <w:rPr>
          <w:rFonts w:ascii="Times New Roman"/>
        </w:rPr>
      </w:pPr>
    </w:p>
    <w:p w14:paraId="55303E6B" w14:textId="77777777" w:rsidR="00E73A9C" w:rsidRPr="00E73A9C" w:rsidRDefault="00E73A9C" w:rsidP="00E73A9C">
      <w:pPr>
        <w:rPr>
          <w:rFonts w:ascii="Times New Roman"/>
        </w:rPr>
      </w:pPr>
    </w:p>
    <w:p w14:paraId="0009E91B" w14:textId="77777777" w:rsidR="00E73A9C" w:rsidRPr="00E73A9C" w:rsidRDefault="00E73A9C" w:rsidP="00E73A9C">
      <w:pPr>
        <w:rPr>
          <w:rFonts w:ascii="Times New Roman"/>
        </w:rPr>
      </w:pPr>
    </w:p>
    <w:p w14:paraId="1ABBE88F" w14:textId="77777777" w:rsidR="00E73A9C" w:rsidRPr="00E73A9C" w:rsidRDefault="00E73A9C" w:rsidP="00E73A9C">
      <w:pPr>
        <w:rPr>
          <w:rFonts w:ascii="Times New Roman"/>
        </w:rPr>
      </w:pPr>
    </w:p>
    <w:p w14:paraId="5AAA9CA5" w14:textId="77777777" w:rsidR="00E73A9C" w:rsidRPr="00E73A9C" w:rsidRDefault="00E73A9C" w:rsidP="00E73A9C">
      <w:pPr>
        <w:rPr>
          <w:rFonts w:ascii="Times New Roman"/>
        </w:rPr>
      </w:pPr>
    </w:p>
    <w:p w14:paraId="1505CA5B" w14:textId="77777777" w:rsidR="00E73A9C" w:rsidRPr="00E73A9C" w:rsidRDefault="00E73A9C" w:rsidP="00E73A9C">
      <w:pPr>
        <w:rPr>
          <w:rFonts w:ascii="Times New Roman"/>
        </w:rPr>
      </w:pPr>
    </w:p>
    <w:p w14:paraId="5D1DEF2B" w14:textId="77777777" w:rsidR="00E73A9C" w:rsidRPr="00E73A9C" w:rsidRDefault="00E73A9C" w:rsidP="00E73A9C">
      <w:pPr>
        <w:rPr>
          <w:rFonts w:ascii="Times New Roman"/>
        </w:rPr>
      </w:pPr>
    </w:p>
    <w:p w14:paraId="5835E402" w14:textId="77777777" w:rsidR="00E73A9C" w:rsidRPr="00E73A9C" w:rsidRDefault="00E73A9C" w:rsidP="00E73A9C">
      <w:pPr>
        <w:rPr>
          <w:rFonts w:ascii="Times New Roman"/>
        </w:rPr>
      </w:pPr>
    </w:p>
    <w:p w14:paraId="0BF4AA0C" w14:textId="77777777" w:rsidR="00E73A9C" w:rsidRPr="00E73A9C" w:rsidRDefault="00E73A9C" w:rsidP="00E73A9C">
      <w:pPr>
        <w:rPr>
          <w:rFonts w:ascii="Times New Roman"/>
        </w:rPr>
      </w:pPr>
    </w:p>
    <w:p w14:paraId="719B9844" w14:textId="77777777" w:rsidR="00E73A9C" w:rsidRPr="00E73A9C" w:rsidRDefault="00E73A9C" w:rsidP="00E73A9C">
      <w:pPr>
        <w:rPr>
          <w:rFonts w:ascii="Times New Roman"/>
        </w:rPr>
      </w:pPr>
    </w:p>
    <w:p w14:paraId="59A3718E" w14:textId="77777777" w:rsidR="00E73A9C" w:rsidRPr="00E73A9C" w:rsidRDefault="00E73A9C" w:rsidP="00E73A9C">
      <w:pPr>
        <w:rPr>
          <w:rFonts w:ascii="Times New Roman"/>
        </w:rPr>
      </w:pPr>
    </w:p>
    <w:p w14:paraId="614F6719" w14:textId="77777777" w:rsidR="00E73A9C" w:rsidRPr="00E73A9C" w:rsidRDefault="00E73A9C" w:rsidP="00E73A9C">
      <w:pPr>
        <w:rPr>
          <w:rFonts w:ascii="Times New Roman"/>
        </w:rPr>
      </w:pPr>
    </w:p>
    <w:p w14:paraId="47103C0F" w14:textId="77777777" w:rsidR="00E73A9C" w:rsidRPr="00E73A9C" w:rsidRDefault="00E73A9C" w:rsidP="00E73A9C">
      <w:pPr>
        <w:rPr>
          <w:rFonts w:ascii="Times New Roman"/>
        </w:rPr>
      </w:pPr>
    </w:p>
    <w:p w14:paraId="3B99BF6E" w14:textId="77777777" w:rsidR="00E73A9C" w:rsidRPr="00E73A9C" w:rsidRDefault="00E73A9C" w:rsidP="00E73A9C">
      <w:pPr>
        <w:rPr>
          <w:rFonts w:ascii="Times New Roman"/>
        </w:rPr>
      </w:pPr>
    </w:p>
    <w:p w14:paraId="1FD4CF02" w14:textId="77777777" w:rsidR="00E73A9C" w:rsidRPr="00E73A9C" w:rsidRDefault="00E73A9C" w:rsidP="00E73A9C">
      <w:pPr>
        <w:rPr>
          <w:rFonts w:ascii="Times New Roman"/>
        </w:rPr>
      </w:pPr>
    </w:p>
    <w:p w14:paraId="693B5D9C" w14:textId="77777777" w:rsidR="00E73A9C" w:rsidRPr="00E73A9C" w:rsidRDefault="00E73A9C" w:rsidP="00E73A9C">
      <w:pPr>
        <w:rPr>
          <w:rFonts w:ascii="Times New Roman"/>
        </w:rPr>
      </w:pPr>
    </w:p>
    <w:p w14:paraId="342F44F2" w14:textId="77777777" w:rsidR="00E73A9C" w:rsidRPr="00E73A9C" w:rsidRDefault="00E73A9C" w:rsidP="00E73A9C">
      <w:pPr>
        <w:rPr>
          <w:rFonts w:ascii="Times New Roman"/>
        </w:rPr>
      </w:pPr>
    </w:p>
    <w:p w14:paraId="5D3B91D7" w14:textId="77777777" w:rsidR="00E73A9C" w:rsidRPr="00E73A9C" w:rsidRDefault="00E73A9C" w:rsidP="00E73A9C">
      <w:pPr>
        <w:rPr>
          <w:rFonts w:ascii="Times New Roman"/>
        </w:rPr>
      </w:pPr>
    </w:p>
    <w:p w14:paraId="0A607F23" w14:textId="77777777" w:rsidR="00E73A9C" w:rsidRPr="00E73A9C" w:rsidRDefault="00E73A9C" w:rsidP="00E73A9C">
      <w:pPr>
        <w:rPr>
          <w:rFonts w:ascii="Times New Roman"/>
        </w:rPr>
      </w:pPr>
    </w:p>
    <w:p w14:paraId="4116F2F0" w14:textId="77777777" w:rsidR="00E73A9C" w:rsidRPr="00E73A9C" w:rsidRDefault="00E73A9C" w:rsidP="00E73A9C">
      <w:pPr>
        <w:rPr>
          <w:rFonts w:ascii="Times New Roman"/>
        </w:rPr>
      </w:pPr>
    </w:p>
    <w:p w14:paraId="2294652E" w14:textId="77777777" w:rsidR="00E73A9C" w:rsidRPr="00E73A9C" w:rsidRDefault="00E73A9C" w:rsidP="00E73A9C">
      <w:pPr>
        <w:rPr>
          <w:rFonts w:ascii="Times New Roman"/>
        </w:rPr>
        <w:sectPr w:rsidR="00E73A9C" w:rsidRPr="00E73A9C" w:rsidSect="008E67B0">
          <w:pgSz w:w="11930" w:h="16850"/>
          <w:pgMar w:top="1440" w:right="1080" w:bottom="1440" w:left="1080" w:header="225" w:footer="373" w:gutter="0"/>
          <w:cols w:space="720"/>
          <w:docGrid w:linePitch="299"/>
        </w:sectPr>
      </w:pPr>
    </w:p>
    <w:sdt>
      <w:sdtPr>
        <w:rPr>
          <w:rFonts w:ascii="Arial" w:eastAsia="Arial" w:hAnsi="Arial" w:cs="Arial"/>
          <w:color w:val="auto"/>
          <w:sz w:val="22"/>
          <w:szCs w:val="22"/>
          <w:lang w:val="en-GB" w:eastAsia="en-GB" w:bidi="en-GB"/>
        </w:rPr>
        <w:id w:val="838045952"/>
        <w:docPartObj>
          <w:docPartGallery w:val="Table of Contents"/>
          <w:docPartUnique/>
        </w:docPartObj>
      </w:sdtPr>
      <w:sdtEndPr>
        <w:rPr>
          <w:b/>
          <w:bCs/>
          <w:noProof/>
        </w:rPr>
      </w:sdtEndPr>
      <w:sdtContent>
        <w:p w14:paraId="78CC2B78" w14:textId="745FC448" w:rsidR="00A20E49" w:rsidRPr="00A20E49" w:rsidRDefault="00A20E49">
          <w:pPr>
            <w:pStyle w:val="TOCHeading"/>
            <w:rPr>
              <w:rFonts w:ascii="Arial" w:hAnsi="Arial" w:cs="Arial"/>
              <w:b/>
              <w:bCs/>
              <w:color w:val="auto"/>
              <w:sz w:val="24"/>
              <w:szCs w:val="24"/>
            </w:rPr>
          </w:pPr>
          <w:r w:rsidRPr="00A20E49">
            <w:rPr>
              <w:rFonts w:ascii="Arial" w:hAnsi="Arial" w:cs="Arial"/>
              <w:b/>
              <w:bCs/>
              <w:color w:val="auto"/>
              <w:sz w:val="24"/>
              <w:szCs w:val="24"/>
            </w:rPr>
            <w:t>Contents</w:t>
          </w:r>
        </w:p>
        <w:p w14:paraId="10BADC68" w14:textId="0FB9CAC7" w:rsidR="00606686" w:rsidRDefault="00A20E49">
          <w:pPr>
            <w:pStyle w:val="TOC1"/>
            <w:tabs>
              <w:tab w:val="right" w:leader="dot" w:pos="9760"/>
            </w:tabs>
            <w:rPr>
              <w:rFonts w:asciiTheme="minorHAnsi" w:eastAsiaTheme="minorEastAsia" w:hAnsiTheme="minorHAnsi" w:cstheme="minorBidi"/>
              <w:noProof/>
              <w:kern w:val="2"/>
              <w:lang w:bidi="ar-SA"/>
              <w14:ligatures w14:val="standardContextual"/>
            </w:rPr>
          </w:pPr>
          <w:r>
            <w:fldChar w:fldCharType="begin"/>
          </w:r>
          <w:r>
            <w:instrText xml:space="preserve"> TOC \o "1-3" \h \z \u </w:instrText>
          </w:r>
          <w:r>
            <w:fldChar w:fldCharType="separate"/>
          </w:r>
          <w:hyperlink w:anchor="_Toc202965704" w:history="1">
            <w:r w:rsidR="00606686" w:rsidRPr="00C07D2D">
              <w:rPr>
                <w:rStyle w:val="Hyperlink"/>
                <w:noProof/>
                <w:spacing w:val="-2"/>
                <w:w w:val="99"/>
              </w:rPr>
              <w:t>1.0</w:t>
            </w:r>
            <w:r w:rsidR="00606686">
              <w:rPr>
                <w:rFonts w:asciiTheme="minorHAnsi" w:eastAsiaTheme="minorEastAsia" w:hAnsiTheme="minorHAnsi" w:cstheme="minorBidi"/>
                <w:noProof/>
                <w:kern w:val="2"/>
                <w:lang w:bidi="ar-SA"/>
                <w14:ligatures w14:val="standardContextual"/>
              </w:rPr>
              <w:tab/>
            </w:r>
            <w:r w:rsidR="00606686" w:rsidRPr="00C07D2D">
              <w:rPr>
                <w:rStyle w:val="Hyperlink"/>
                <w:noProof/>
              </w:rPr>
              <w:t>INTRODUCTION</w:t>
            </w:r>
            <w:r w:rsidR="00606686">
              <w:rPr>
                <w:noProof/>
                <w:webHidden/>
              </w:rPr>
              <w:tab/>
            </w:r>
            <w:r w:rsidR="00606686">
              <w:rPr>
                <w:noProof/>
                <w:webHidden/>
              </w:rPr>
              <w:fldChar w:fldCharType="begin"/>
            </w:r>
            <w:r w:rsidR="00606686">
              <w:rPr>
                <w:noProof/>
                <w:webHidden/>
              </w:rPr>
              <w:instrText xml:space="preserve"> PAGEREF _Toc202965704 \h </w:instrText>
            </w:r>
            <w:r w:rsidR="00606686">
              <w:rPr>
                <w:noProof/>
                <w:webHidden/>
              </w:rPr>
            </w:r>
            <w:r w:rsidR="00606686">
              <w:rPr>
                <w:noProof/>
                <w:webHidden/>
              </w:rPr>
              <w:fldChar w:fldCharType="separate"/>
            </w:r>
            <w:r w:rsidR="00606686">
              <w:rPr>
                <w:noProof/>
                <w:webHidden/>
              </w:rPr>
              <w:t>4</w:t>
            </w:r>
            <w:r w:rsidR="00606686">
              <w:rPr>
                <w:noProof/>
                <w:webHidden/>
              </w:rPr>
              <w:fldChar w:fldCharType="end"/>
            </w:r>
          </w:hyperlink>
        </w:p>
        <w:p w14:paraId="6BA64344" w14:textId="22B14B5C"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05" w:history="1">
            <w:r w:rsidRPr="00C07D2D">
              <w:rPr>
                <w:rStyle w:val="Hyperlink"/>
                <w:noProof/>
                <w:spacing w:val="-2"/>
                <w:w w:val="99"/>
              </w:rPr>
              <w:t>1.1</w:t>
            </w:r>
            <w:r>
              <w:rPr>
                <w:rFonts w:asciiTheme="minorHAnsi" w:eastAsiaTheme="minorEastAsia" w:hAnsiTheme="minorHAnsi" w:cstheme="minorBidi"/>
                <w:noProof/>
                <w:kern w:val="2"/>
                <w:lang w:bidi="ar-SA"/>
                <w14:ligatures w14:val="standardContextual"/>
              </w:rPr>
              <w:tab/>
            </w:r>
            <w:r w:rsidRPr="00C07D2D">
              <w:rPr>
                <w:rStyle w:val="Hyperlink"/>
                <w:noProof/>
              </w:rPr>
              <w:t>Who are we?</w:t>
            </w:r>
            <w:r>
              <w:rPr>
                <w:noProof/>
                <w:webHidden/>
              </w:rPr>
              <w:tab/>
            </w:r>
            <w:r>
              <w:rPr>
                <w:noProof/>
                <w:webHidden/>
              </w:rPr>
              <w:fldChar w:fldCharType="begin"/>
            </w:r>
            <w:r>
              <w:rPr>
                <w:noProof/>
                <w:webHidden/>
              </w:rPr>
              <w:instrText xml:space="preserve"> PAGEREF _Toc202965705 \h </w:instrText>
            </w:r>
            <w:r>
              <w:rPr>
                <w:noProof/>
                <w:webHidden/>
              </w:rPr>
            </w:r>
            <w:r>
              <w:rPr>
                <w:noProof/>
                <w:webHidden/>
              </w:rPr>
              <w:fldChar w:fldCharType="separate"/>
            </w:r>
            <w:r>
              <w:rPr>
                <w:noProof/>
                <w:webHidden/>
              </w:rPr>
              <w:t>4</w:t>
            </w:r>
            <w:r>
              <w:rPr>
                <w:noProof/>
                <w:webHidden/>
              </w:rPr>
              <w:fldChar w:fldCharType="end"/>
            </w:r>
          </w:hyperlink>
        </w:p>
        <w:p w14:paraId="646F7E76" w14:textId="14B634A4"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06" w:history="1">
            <w:r w:rsidRPr="00C07D2D">
              <w:rPr>
                <w:rStyle w:val="Hyperlink"/>
                <w:noProof/>
              </w:rPr>
              <w:t>2.0</w:t>
            </w:r>
            <w:r>
              <w:rPr>
                <w:rFonts w:asciiTheme="minorHAnsi" w:eastAsiaTheme="minorEastAsia" w:hAnsiTheme="minorHAnsi" w:cstheme="minorBidi"/>
                <w:noProof/>
                <w:kern w:val="2"/>
                <w:lang w:bidi="ar-SA"/>
                <w14:ligatures w14:val="standardContextual"/>
              </w:rPr>
              <w:tab/>
            </w:r>
            <w:r w:rsidRPr="00C07D2D">
              <w:rPr>
                <w:rStyle w:val="Hyperlink"/>
                <w:noProof/>
              </w:rPr>
              <w:t>PURPOSE OF THE GOVERNANCE HANDBOOK AND</w:t>
            </w:r>
            <w:r w:rsidRPr="00C07D2D">
              <w:rPr>
                <w:rStyle w:val="Hyperlink"/>
                <w:noProof/>
                <w:spacing w:val="-9"/>
              </w:rPr>
              <w:t xml:space="preserve"> </w:t>
            </w:r>
            <w:r w:rsidRPr="00C07D2D">
              <w:rPr>
                <w:rStyle w:val="Hyperlink"/>
                <w:noProof/>
              </w:rPr>
              <w:t>ACCOUNTABILITY</w:t>
            </w:r>
            <w:r>
              <w:rPr>
                <w:noProof/>
                <w:webHidden/>
              </w:rPr>
              <w:tab/>
            </w:r>
            <w:r>
              <w:rPr>
                <w:noProof/>
                <w:webHidden/>
              </w:rPr>
              <w:fldChar w:fldCharType="begin"/>
            </w:r>
            <w:r>
              <w:rPr>
                <w:noProof/>
                <w:webHidden/>
              </w:rPr>
              <w:instrText xml:space="preserve"> PAGEREF _Toc202965706 \h </w:instrText>
            </w:r>
            <w:r>
              <w:rPr>
                <w:noProof/>
                <w:webHidden/>
              </w:rPr>
            </w:r>
            <w:r>
              <w:rPr>
                <w:noProof/>
                <w:webHidden/>
              </w:rPr>
              <w:fldChar w:fldCharType="separate"/>
            </w:r>
            <w:r>
              <w:rPr>
                <w:noProof/>
                <w:webHidden/>
              </w:rPr>
              <w:t>4</w:t>
            </w:r>
            <w:r>
              <w:rPr>
                <w:noProof/>
                <w:webHidden/>
              </w:rPr>
              <w:fldChar w:fldCharType="end"/>
            </w:r>
          </w:hyperlink>
        </w:p>
        <w:p w14:paraId="24537153" w14:textId="562F253D"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07" w:history="1">
            <w:r w:rsidRPr="00C07D2D">
              <w:rPr>
                <w:rStyle w:val="Hyperlink"/>
                <w:noProof/>
                <w:spacing w:val="-1"/>
                <w:w w:val="99"/>
              </w:rPr>
              <w:t>3.0</w:t>
            </w:r>
            <w:r>
              <w:rPr>
                <w:rFonts w:asciiTheme="minorHAnsi" w:eastAsiaTheme="minorEastAsia" w:hAnsiTheme="minorHAnsi" w:cstheme="minorBidi"/>
                <w:noProof/>
                <w:kern w:val="2"/>
                <w:lang w:bidi="ar-SA"/>
                <w14:ligatures w14:val="standardContextual"/>
              </w:rPr>
              <w:tab/>
            </w:r>
            <w:r w:rsidRPr="00C07D2D">
              <w:rPr>
                <w:rStyle w:val="Hyperlink"/>
                <w:noProof/>
              </w:rPr>
              <w:t>DECISION MAKING: OUR</w:t>
            </w:r>
            <w:r w:rsidRPr="00C07D2D">
              <w:rPr>
                <w:rStyle w:val="Hyperlink"/>
                <w:noProof/>
                <w:spacing w:val="-2"/>
              </w:rPr>
              <w:t xml:space="preserve"> </w:t>
            </w:r>
            <w:r w:rsidRPr="00C07D2D">
              <w:rPr>
                <w:rStyle w:val="Hyperlink"/>
                <w:noProof/>
              </w:rPr>
              <w:t>GOVERNANCE</w:t>
            </w:r>
            <w:r>
              <w:rPr>
                <w:noProof/>
                <w:webHidden/>
              </w:rPr>
              <w:tab/>
            </w:r>
            <w:r>
              <w:rPr>
                <w:noProof/>
                <w:webHidden/>
              </w:rPr>
              <w:fldChar w:fldCharType="begin"/>
            </w:r>
            <w:r>
              <w:rPr>
                <w:noProof/>
                <w:webHidden/>
              </w:rPr>
              <w:instrText xml:space="preserve"> PAGEREF _Toc202965707 \h </w:instrText>
            </w:r>
            <w:r>
              <w:rPr>
                <w:noProof/>
                <w:webHidden/>
              </w:rPr>
            </w:r>
            <w:r>
              <w:rPr>
                <w:noProof/>
                <w:webHidden/>
              </w:rPr>
              <w:fldChar w:fldCharType="separate"/>
            </w:r>
            <w:r>
              <w:rPr>
                <w:noProof/>
                <w:webHidden/>
              </w:rPr>
              <w:t>4</w:t>
            </w:r>
            <w:r>
              <w:rPr>
                <w:noProof/>
                <w:webHidden/>
              </w:rPr>
              <w:fldChar w:fldCharType="end"/>
            </w:r>
          </w:hyperlink>
        </w:p>
        <w:p w14:paraId="302F4BAE" w14:textId="7CA1A4B4"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08" w:history="1">
            <w:r w:rsidRPr="00C07D2D">
              <w:rPr>
                <w:rStyle w:val="Hyperlink"/>
                <w:noProof/>
                <w:spacing w:val="-1"/>
                <w:w w:val="99"/>
              </w:rPr>
              <w:t>3.1</w:t>
            </w:r>
            <w:r>
              <w:rPr>
                <w:rFonts w:asciiTheme="minorHAnsi" w:eastAsiaTheme="minorEastAsia" w:hAnsiTheme="minorHAnsi" w:cstheme="minorBidi"/>
                <w:noProof/>
                <w:kern w:val="2"/>
                <w:lang w:bidi="ar-SA"/>
                <w14:ligatures w14:val="standardContextual"/>
              </w:rPr>
              <w:tab/>
            </w:r>
            <w:r w:rsidRPr="00C07D2D">
              <w:rPr>
                <w:rStyle w:val="Hyperlink"/>
                <w:noProof/>
              </w:rPr>
              <w:t>The Role of Our</w:t>
            </w:r>
            <w:r w:rsidRPr="00C07D2D">
              <w:rPr>
                <w:rStyle w:val="Hyperlink"/>
                <w:noProof/>
                <w:spacing w:val="1"/>
              </w:rPr>
              <w:t xml:space="preserve"> </w:t>
            </w:r>
            <w:r w:rsidRPr="00C07D2D">
              <w:rPr>
                <w:rStyle w:val="Hyperlink"/>
                <w:noProof/>
              </w:rPr>
              <w:t>Board</w:t>
            </w:r>
            <w:r>
              <w:rPr>
                <w:noProof/>
                <w:webHidden/>
              </w:rPr>
              <w:tab/>
            </w:r>
            <w:r>
              <w:rPr>
                <w:noProof/>
                <w:webHidden/>
              </w:rPr>
              <w:fldChar w:fldCharType="begin"/>
            </w:r>
            <w:r>
              <w:rPr>
                <w:noProof/>
                <w:webHidden/>
              </w:rPr>
              <w:instrText xml:space="preserve"> PAGEREF _Toc202965708 \h </w:instrText>
            </w:r>
            <w:r>
              <w:rPr>
                <w:noProof/>
                <w:webHidden/>
              </w:rPr>
            </w:r>
            <w:r>
              <w:rPr>
                <w:noProof/>
                <w:webHidden/>
              </w:rPr>
              <w:fldChar w:fldCharType="separate"/>
            </w:r>
            <w:r>
              <w:rPr>
                <w:noProof/>
                <w:webHidden/>
              </w:rPr>
              <w:t>4</w:t>
            </w:r>
            <w:r>
              <w:rPr>
                <w:noProof/>
                <w:webHidden/>
              </w:rPr>
              <w:fldChar w:fldCharType="end"/>
            </w:r>
          </w:hyperlink>
        </w:p>
        <w:p w14:paraId="2177137A" w14:textId="13A4A031"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09" w:history="1">
            <w:r w:rsidRPr="00C07D2D">
              <w:rPr>
                <w:rStyle w:val="Hyperlink"/>
                <w:noProof/>
              </w:rPr>
              <w:t xml:space="preserve">3.2 </w:t>
            </w:r>
            <w:r>
              <w:rPr>
                <w:rFonts w:asciiTheme="minorHAnsi" w:eastAsiaTheme="minorEastAsia" w:hAnsiTheme="minorHAnsi" w:cstheme="minorBidi"/>
                <w:noProof/>
                <w:kern w:val="2"/>
                <w:lang w:bidi="ar-SA"/>
                <w14:ligatures w14:val="standardContextual"/>
              </w:rPr>
              <w:tab/>
            </w:r>
            <w:r w:rsidRPr="00C07D2D">
              <w:rPr>
                <w:rStyle w:val="Hyperlink"/>
                <w:noProof/>
              </w:rPr>
              <w:t>Integrated Care Partnership</w:t>
            </w:r>
            <w:r>
              <w:rPr>
                <w:noProof/>
                <w:webHidden/>
              </w:rPr>
              <w:tab/>
            </w:r>
            <w:r>
              <w:rPr>
                <w:noProof/>
                <w:webHidden/>
              </w:rPr>
              <w:fldChar w:fldCharType="begin"/>
            </w:r>
            <w:r>
              <w:rPr>
                <w:noProof/>
                <w:webHidden/>
              </w:rPr>
              <w:instrText xml:space="preserve"> PAGEREF _Toc202965709 \h </w:instrText>
            </w:r>
            <w:r>
              <w:rPr>
                <w:noProof/>
                <w:webHidden/>
              </w:rPr>
            </w:r>
            <w:r>
              <w:rPr>
                <w:noProof/>
                <w:webHidden/>
              </w:rPr>
              <w:fldChar w:fldCharType="separate"/>
            </w:r>
            <w:r>
              <w:rPr>
                <w:noProof/>
                <w:webHidden/>
              </w:rPr>
              <w:t>5</w:t>
            </w:r>
            <w:r>
              <w:rPr>
                <w:noProof/>
                <w:webHidden/>
              </w:rPr>
              <w:fldChar w:fldCharType="end"/>
            </w:r>
          </w:hyperlink>
        </w:p>
        <w:p w14:paraId="7032EAD0" w14:textId="34C6590E"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10" w:history="1">
            <w:r w:rsidRPr="00C07D2D">
              <w:rPr>
                <w:rStyle w:val="Hyperlink"/>
                <w:noProof/>
              </w:rPr>
              <w:t>3.3</w:t>
            </w:r>
            <w:r>
              <w:rPr>
                <w:rFonts w:asciiTheme="minorHAnsi" w:eastAsiaTheme="minorEastAsia" w:hAnsiTheme="minorHAnsi" w:cstheme="minorBidi"/>
                <w:noProof/>
                <w:kern w:val="2"/>
                <w:lang w:bidi="ar-SA"/>
                <w14:ligatures w14:val="standardContextual"/>
              </w:rPr>
              <w:tab/>
            </w:r>
            <w:r w:rsidRPr="00C07D2D">
              <w:rPr>
                <w:rStyle w:val="Hyperlink"/>
                <w:noProof/>
              </w:rPr>
              <w:t>Our Governance</w:t>
            </w:r>
            <w:r w:rsidRPr="00C07D2D">
              <w:rPr>
                <w:rStyle w:val="Hyperlink"/>
                <w:noProof/>
                <w:spacing w:val="-1"/>
              </w:rPr>
              <w:t xml:space="preserve"> </w:t>
            </w:r>
            <w:r w:rsidRPr="00C07D2D">
              <w:rPr>
                <w:rStyle w:val="Hyperlink"/>
                <w:noProof/>
              </w:rPr>
              <w:t>Structure</w:t>
            </w:r>
            <w:r>
              <w:rPr>
                <w:noProof/>
                <w:webHidden/>
              </w:rPr>
              <w:tab/>
            </w:r>
            <w:r>
              <w:rPr>
                <w:noProof/>
                <w:webHidden/>
              </w:rPr>
              <w:fldChar w:fldCharType="begin"/>
            </w:r>
            <w:r>
              <w:rPr>
                <w:noProof/>
                <w:webHidden/>
              </w:rPr>
              <w:instrText xml:space="preserve"> PAGEREF _Toc202965710 \h </w:instrText>
            </w:r>
            <w:r>
              <w:rPr>
                <w:noProof/>
                <w:webHidden/>
              </w:rPr>
            </w:r>
            <w:r>
              <w:rPr>
                <w:noProof/>
                <w:webHidden/>
              </w:rPr>
              <w:fldChar w:fldCharType="separate"/>
            </w:r>
            <w:r>
              <w:rPr>
                <w:noProof/>
                <w:webHidden/>
              </w:rPr>
              <w:t>5</w:t>
            </w:r>
            <w:r>
              <w:rPr>
                <w:noProof/>
                <w:webHidden/>
              </w:rPr>
              <w:fldChar w:fldCharType="end"/>
            </w:r>
          </w:hyperlink>
        </w:p>
        <w:p w14:paraId="6C670FF1" w14:textId="50CDAA16"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11" w:history="1">
            <w:r w:rsidRPr="00C07D2D">
              <w:rPr>
                <w:rStyle w:val="Hyperlink"/>
                <w:noProof/>
              </w:rPr>
              <w:t>3.4</w:t>
            </w:r>
            <w:r>
              <w:rPr>
                <w:rFonts w:asciiTheme="minorHAnsi" w:eastAsiaTheme="minorEastAsia" w:hAnsiTheme="minorHAnsi" w:cstheme="minorBidi"/>
                <w:noProof/>
                <w:kern w:val="2"/>
                <w:lang w:bidi="ar-SA"/>
                <w14:ligatures w14:val="standardContextual"/>
              </w:rPr>
              <w:tab/>
            </w:r>
            <w:r w:rsidRPr="00C07D2D">
              <w:rPr>
                <w:rStyle w:val="Hyperlink"/>
                <w:noProof/>
              </w:rPr>
              <w:t>Functions and Decisions Map</w:t>
            </w:r>
            <w:r>
              <w:rPr>
                <w:noProof/>
                <w:webHidden/>
              </w:rPr>
              <w:tab/>
            </w:r>
            <w:r>
              <w:rPr>
                <w:noProof/>
                <w:webHidden/>
              </w:rPr>
              <w:fldChar w:fldCharType="begin"/>
            </w:r>
            <w:r>
              <w:rPr>
                <w:noProof/>
                <w:webHidden/>
              </w:rPr>
              <w:instrText xml:space="preserve"> PAGEREF _Toc202965711 \h </w:instrText>
            </w:r>
            <w:r>
              <w:rPr>
                <w:noProof/>
                <w:webHidden/>
              </w:rPr>
            </w:r>
            <w:r>
              <w:rPr>
                <w:noProof/>
                <w:webHidden/>
              </w:rPr>
              <w:fldChar w:fldCharType="separate"/>
            </w:r>
            <w:r>
              <w:rPr>
                <w:noProof/>
                <w:webHidden/>
              </w:rPr>
              <w:t>6</w:t>
            </w:r>
            <w:r>
              <w:rPr>
                <w:noProof/>
                <w:webHidden/>
              </w:rPr>
              <w:fldChar w:fldCharType="end"/>
            </w:r>
          </w:hyperlink>
        </w:p>
        <w:p w14:paraId="48DB7D6C" w14:textId="0A5466C4"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12" w:history="1">
            <w:r w:rsidRPr="00C07D2D">
              <w:rPr>
                <w:rStyle w:val="Hyperlink"/>
                <w:noProof/>
                <w:spacing w:val="-1"/>
                <w:w w:val="97"/>
              </w:rPr>
              <w:t>4.0</w:t>
            </w:r>
            <w:r>
              <w:rPr>
                <w:rFonts w:asciiTheme="minorHAnsi" w:eastAsiaTheme="minorEastAsia" w:hAnsiTheme="minorHAnsi" w:cstheme="minorBidi"/>
                <w:noProof/>
                <w:kern w:val="2"/>
                <w:lang w:bidi="ar-SA"/>
                <w14:ligatures w14:val="standardContextual"/>
              </w:rPr>
              <w:tab/>
            </w:r>
            <w:r w:rsidRPr="00C07D2D">
              <w:rPr>
                <w:rStyle w:val="Hyperlink"/>
                <w:noProof/>
              </w:rPr>
              <w:t>KEY DOCUMENTS</w:t>
            </w:r>
            <w:r>
              <w:rPr>
                <w:noProof/>
                <w:webHidden/>
              </w:rPr>
              <w:tab/>
            </w:r>
            <w:r>
              <w:rPr>
                <w:noProof/>
                <w:webHidden/>
              </w:rPr>
              <w:fldChar w:fldCharType="begin"/>
            </w:r>
            <w:r>
              <w:rPr>
                <w:noProof/>
                <w:webHidden/>
              </w:rPr>
              <w:instrText xml:space="preserve"> PAGEREF _Toc202965712 \h </w:instrText>
            </w:r>
            <w:r>
              <w:rPr>
                <w:noProof/>
                <w:webHidden/>
              </w:rPr>
            </w:r>
            <w:r>
              <w:rPr>
                <w:noProof/>
                <w:webHidden/>
              </w:rPr>
              <w:fldChar w:fldCharType="separate"/>
            </w:r>
            <w:r>
              <w:rPr>
                <w:noProof/>
                <w:webHidden/>
              </w:rPr>
              <w:t>7</w:t>
            </w:r>
            <w:r>
              <w:rPr>
                <w:noProof/>
                <w:webHidden/>
              </w:rPr>
              <w:fldChar w:fldCharType="end"/>
            </w:r>
          </w:hyperlink>
        </w:p>
        <w:p w14:paraId="27676F3A" w14:textId="6BD2659F"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13" w:history="1">
            <w:r w:rsidRPr="00C07D2D">
              <w:rPr>
                <w:rStyle w:val="Hyperlink"/>
                <w:noProof/>
                <w:spacing w:val="-1"/>
                <w:w w:val="97"/>
              </w:rPr>
              <w:t>4.1</w:t>
            </w:r>
            <w:r>
              <w:rPr>
                <w:rFonts w:asciiTheme="minorHAnsi" w:eastAsiaTheme="minorEastAsia" w:hAnsiTheme="minorHAnsi" w:cstheme="minorBidi"/>
                <w:noProof/>
                <w:kern w:val="2"/>
                <w:lang w:bidi="ar-SA"/>
                <w14:ligatures w14:val="standardContextual"/>
              </w:rPr>
              <w:tab/>
            </w:r>
            <w:r w:rsidRPr="00C07D2D">
              <w:rPr>
                <w:rStyle w:val="Hyperlink"/>
                <w:noProof/>
              </w:rPr>
              <w:t>Scheme of Reservation and Delegation</w:t>
            </w:r>
            <w:r w:rsidRPr="00C07D2D">
              <w:rPr>
                <w:rStyle w:val="Hyperlink"/>
                <w:noProof/>
                <w:spacing w:val="-2"/>
              </w:rPr>
              <w:t xml:space="preserve"> </w:t>
            </w:r>
            <w:r w:rsidRPr="00C07D2D">
              <w:rPr>
                <w:rStyle w:val="Hyperlink"/>
                <w:noProof/>
              </w:rPr>
              <w:t>(SoRD)</w:t>
            </w:r>
            <w:r>
              <w:rPr>
                <w:noProof/>
                <w:webHidden/>
              </w:rPr>
              <w:tab/>
            </w:r>
            <w:r>
              <w:rPr>
                <w:noProof/>
                <w:webHidden/>
              </w:rPr>
              <w:fldChar w:fldCharType="begin"/>
            </w:r>
            <w:r>
              <w:rPr>
                <w:noProof/>
                <w:webHidden/>
              </w:rPr>
              <w:instrText xml:space="preserve"> PAGEREF _Toc202965713 \h </w:instrText>
            </w:r>
            <w:r>
              <w:rPr>
                <w:noProof/>
                <w:webHidden/>
              </w:rPr>
            </w:r>
            <w:r>
              <w:rPr>
                <w:noProof/>
                <w:webHidden/>
              </w:rPr>
              <w:fldChar w:fldCharType="separate"/>
            </w:r>
            <w:r>
              <w:rPr>
                <w:noProof/>
                <w:webHidden/>
              </w:rPr>
              <w:t>7</w:t>
            </w:r>
            <w:r>
              <w:rPr>
                <w:noProof/>
                <w:webHidden/>
              </w:rPr>
              <w:fldChar w:fldCharType="end"/>
            </w:r>
          </w:hyperlink>
        </w:p>
        <w:p w14:paraId="4622D97D" w14:textId="6C4D4361"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14" w:history="1">
            <w:r w:rsidRPr="00C07D2D">
              <w:rPr>
                <w:rStyle w:val="Hyperlink"/>
                <w:noProof/>
                <w:spacing w:val="-1"/>
                <w:w w:val="97"/>
              </w:rPr>
              <w:t>4.2</w:t>
            </w:r>
            <w:r>
              <w:rPr>
                <w:rFonts w:asciiTheme="minorHAnsi" w:eastAsiaTheme="minorEastAsia" w:hAnsiTheme="minorHAnsi" w:cstheme="minorBidi"/>
                <w:noProof/>
                <w:kern w:val="2"/>
                <w:lang w:bidi="ar-SA"/>
                <w14:ligatures w14:val="standardContextual"/>
              </w:rPr>
              <w:tab/>
            </w:r>
            <w:r w:rsidRPr="00C07D2D">
              <w:rPr>
                <w:rStyle w:val="Hyperlink"/>
                <w:noProof/>
              </w:rPr>
              <w:t>Standing Financial Instructions</w:t>
            </w:r>
            <w:r w:rsidRPr="00C07D2D">
              <w:rPr>
                <w:rStyle w:val="Hyperlink"/>
                <w:noProof/>
                <w:spacing w:val="2"/>
              </w:rPr>
              <w:t xml:space="preserve"> </w:t>
            </w:r>
            <w:r w:rsidRPr="00C07D2D">
              <w:rPr>
                <w:rStyle w:val="Hyperlink"/>
                <w:noProof/>
              </w:rPr>
              <w:t>(SFIs)</w:t>
            </w:r>
            <w:r>
              <w:rPr>
                <w:noProof/>
                <w:webHidden/>
              </w:rPr>
              <w:tab/>
            </w:r>
            <w:r>
              <w:rPr>
                <w:noProof/>
                <w:webHidden/>
              </w:rPr>
              <w:fldChar w:fldCharType="begin"/>
            </w:r>
            <w:r>
              <w:rPr>
                <w:noProof/>
                <w:webHidden/>
              </w:rPr>
              <w:instrText xml:space="preserve"> PAGEREF _Toc202965714 \h </w:instrText>
            </w:r>
            <w:r>
              <w:rPr>
                <w:noProof/>
                <w:webHidden/>
              </w:rPr>
            </w:r>
            <w:r>
              <w:rPr>
                <w:noProof/>
                <w:webHidden/>
              </w:rPr>
              <w:fldChar w:fldCharType="separate"/>
            </w:r>
            <w:r>
              <w:rPr>
                <w:noProof/>
                <w:webHidden/>
              </w:rPr>
              <w:t>7</w:t>
            </w:r>
            <w:r>
              <w:rPr>
                <w:noProof/>
                <w:webHidden/>
              </w:rPr>
              <w:fldChar w:fldCharType="end"/>
            </w:r>
          </w:hyperlink>
        </w:p>
        <w:p w14:paraId="41FE6CF2" w14:textId="4474A8CE"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15" w:history="1">
            <w:r w:rsidRPr="00C07D2D">
              <w:rPr>
                <w:rStyle w:val="Hyperlink"/>
                <w:noProof/>
              </w:rPr>
              <w:t xml:space="preserve">4.3 </w:t>
            </w:r>
            <w:r>
              <w:rPr>
                <w:rFonts w:asciiTheme="minorHAnsi" w:eastAsiaTheme="minorEastAsia" w:hAnsiTheme="minorHAnsi" w:cstheme="minorBidi"/>
                <w:noProof/>
                <w:kern w:val="2"/>
                <w:lang w:bidi="ar-SA"/>
                <w14:ligatures w14:val="standardContextual"/>
              </w:rPr>
              <w:tab/>
            </w:r>
            <w:r w:rsidRPr="00C07D2D">
              <w:rPr>
                <w:rStyle w:val="Hyperlink"/>
                <w:noProof/>
              </w:rPr>
              <w:t>Scheme of Financial Delegation (OSD)</w:t>
            </w:r>
            <w:r>
              <w:rPr>
                <w:noProof/>
                <w:webHidden/>
              </w:rPr>
              <w:tab/>
            </w:r>
            <w:r>
              <w:rPr>
                <w:noProof/>
                <w:webHidden/>
              </w:rPr>
              <w:fldChar w:fldCharType="begin"/>
            </w:r>
            <w:r>
              <w:rPr>
                <w:noProof/>
                <w:webHidden/>
              </w:rPr>
              <w:instrText xml:space="preserve"> PAGEREF _Toc202965715 \h </w:instrText>
            </w:r>
            <w:r>
              <w:rPr>
                <w:noProof/>
                <w:webHidden/>
              </w:rPr>
            </w:r>
            <w:r>
              <w:rPr>
                <w:noProof/>
                <w:webHidden/>
              </w:rPr>
              <w:fldChar w:fldCharType="separate"/>
            </w:r>
            <w:r>
              <w:rPr>
                <w:noProof/>
                <w:webHidden/>
              </w:rPr>
              <w:t>7</w:t>
            </w:r>
            <w:r>
              <w:rPr>
                <w:noProof/>
                <w:webHidden/>
              </w:rPr>
              <w:fldChar w:fldCharType="end"/>
            </w:r>
          </w:hyperlink>
        </w:p>
        <w:p w14:paraId="58A66644" w14:textId="4F59D607"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16" w:history="1">
            <w:r w:rsidRPr="00C07D2D">
              <w:rPr>
                <w:rStyle w:val="Hyperlink"/>
                <w:noProof/>
              </w:rPr>
              <w:t>5.0</w:t>
            </w:r>
            <w:r>
              <w:rPr>
                <w:rFonts w:asciiTheme="minorHAnsi" w:eastAsiaTheme="minorEastAsia" w:hAnsiTheme="minorHAnsi" w:cstheme="minorBidi"/>
                <w:noProof/>
                <w:kern w:val="2"/>
                <w:lang w:bidi="ar-SA"/>
                <w14:ligatures w14:val="standardContextual"/>
              </w:rPr>
              <w:tab/>
            </w:r>
            <w:r w:rsidRPr="00C07D2D">
              <w:rPr>
                <w:rStyle w:val="Hyperlink"/>
                <w:noProof/>
              </w:rPr>
              <w:t>GOVERNANCE POLICIES</w:t>
            </w:r>
            <w:r>
              <w:rPr>
                <w:noProof/>
                <w:webHidden/>
              </w:rPr>
              <w:tab/>
            </w:r>
            <w:r>
              <w:rPr>
                <w:noProof/>
                <w:webHidden/>
              </w:rPr>
              <w:fldChar w:fldCharType="begin"/>
            </w:r>
            <w:r>
              <w:rPr>
                <w:noProof/>
                <w:webHidden/>
              </w:rPr>
              <w:instrText xml:space="preserve"> PAGEREF _Toc202965716 \h </w:instrText>
            </w:r>
            <w:r>
              <w:rPr>
                <w:noProof/>
                <w:webHidden/>
              </w:rPr>
            </w:r>
            <w:r>
              <w:rPr>
                <w:noProof/>
                <w:webHidden/>
              </w:rPr>
              <w:fldChar w:fldCharType="separate"/>
            </w:r>
            <w:r>
              <w:rPr>
                <w:noProof/>
                <w:webHidden/>
              </w:rPr>
              <w:t>8</w:t>
            </w:r>
            <w:r>
              <w:rPr>
                <w:noProof/>
                <w:webHidden/>
              </w:rPr>
              <w:fldChar w:fldCharType="end"/>
            </w:r>
          </w:hyperlink>
        </w:p>
        <w:p w14:paraId="02AE1D31" w14:textId="7D9CC553"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17" w:history="1">
            <w:r w:rsidRPr="00C07D2D">
              <w:rPr>
                <w:rStyle w:val="Hyperlink"/>
                <w:noProof/>
              </w:rPr>
              <w:t>6.0</w:t>
            </w:r>
            <w:r>
              <w:rPr>
                <w:rFonts w:asciiTheme="minorHAnsi" w:eastAsiaTheme="minorEastAsia" w:hAnsiTheme="minorHAnsi" w:cstheme="minorBidi"/>
                <w:noProof/>
                <w:kern w:val="2"/>
                <w:lang w:bidi="ar-SA"/>
                <w14:ligatures w14:val="standardContextual"/>
              </w:rPr>
              <w:tab/>
            </w:r>
            <w:r w:rsidRPr="00C07D2D">
              <w:rPr>
                <w:rStyle w:val="Hyperlink"/>
                <w:noProof/>
              </w:rPr>
              <w:t>APPENDICES</w:t>
            </w:r>
            <w:r>
              <w:rPr>
                <w:noProof/>
                <w:webHidden/>
              </w:rPr>
              <w:tab/>
            </w:r>
            <w:r>
              <w:rPr>
                <w:noProof/>
                <w:webHidden/>
              </w:rPr>
              <w:fldChar w:fldCharType="begin"/>
            </w:r>
            <w:r>
              <w:rPr>
                <w:noProof/>
                <w:webHidden/>
              </w:rPr>
              <w:instrText xml:space="preserve"> PAGEREF _Toc202965717 \h </w:instrText>
            </w:r>
            <w:r>
              <w:rPr>
                <w:noProof/>
                <w:webHidden/>
              </w:rPr>
            </w:r>
            <w:r>
              <w:rPr>
                <w:noProof/>
                <w:webHidden/>
              </w:rPr>
              <w:fldChar w:fldCharType="separate"/>
            </w:r>
            <w:r>
              <w:rPr>
                <w:noProof/>
                <w:webHidden/>
              </w:rPr>
              <w:t>8</w:t>
            </w:r>
            <w:r>
              <w:rPr>
                <w:noProof/>
                <w:webHidden/>
              </w:rPr>
              <w:fldChar w:fldCharType="end"/>
            </w:r>
          </w:hyperlink>
        </w:p>
        <w:p w14:paraId="6CA29626" w14:textId="352F8A07"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18" w:history="1">
            <w:r w:rsidRPr="00C07D2D">
              <w:rPr>
                <w:rStyle w:val="Hyperlink"/>
                <w:noProof/>
              </w:rPr>
              <w:t>APPENDIX A – NHS Humber and North Yorkshire ICB Governance Structure</w:t>
            </w:r>
            <w:r>
              <w:rPr>
                <w:noProof/>
                <w:webHidden/>
              </w:rPr>
              <w:tab/>
            </w:r>
            <w:r>
              <w:rPr>
                <w:noProof/>
                <w:webHidden/>
              </w:rPr>
              <w:fldChar w:fldCharType="begin"/>
            </w:r>
            <w:r>
              <w:rPr>
                <w:noProof/>
                <w:webHidden/>
              </w:rPr>
              <w:instrText xml:space="preserve"> PAGEREF _Toc202965718 \h </w:instrText>
            </w:r>
            <w:r>
              <w:rPr>
                <w:noProof/>
                <w:webHidden/>
              </w:rPr>
            </w:r>
            <w:r>
              <w:rPr>
                <w:noProof/>
                <w:webHidden/>
              </w:rPr>
              <w:fldChar w:fldCharType="separate"/>
            </w:r>
            <w:r>
              <w:rPr>
                <w:noProof/>
                <w:webHidden/>
              </w:rPr>
              <w:t>9</w:t>
            </w:r>
            <w:r>
              <w:rPr>
                <w:noProof/>
                <w:webHidden/>
              </w:rPr>
              <w:fldChar w:fldCharType="end"/>
            </w:r>
          </w:hyperlink>
        </w:p>
        <w:p w14:paraId="3467163C" w14:textId="14580FC6"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19" w:history="1">
            <w:r w:rsidRPr="00C07D2D">
              <w:rPr>
                <w:rStyle w:val="Hyperlink"/>
                <w:noProof/>
              </w:rPr>
              <w:t>APPENDIX B– Specialist Roles</w:t>
            </w:r>
            <w:r>
              <w:rPr>
                <w:noProof/>
                <w:webHidden/>
              </w:rPr>
              <w:tab/>
            </w:r>
            <w:r>
              <w:rPr>
                <w:noProof/>
                <w:webHidden/>
              </w:rPr>
              <w:fldChar w:fldCharType="begin"/>
            </w:r>
            <w:r>
              <w:rPr>
                <w:noProof/>
                <w:webHidden/>
              </w:rPr>
              <w:instrText xml:space="preserve"> PAGEREF _Toc202965719 \h </w:instrText>
            </w:r>
            <w:r>
              <w:rPr>
                <w:noProof/>
                <w:webHidden/>
              </w:rPr>
            </w:r>
            <w:r>
              <w:rPr>
                <w:noProof/>
                <w:webHidden/>
              </w:rPr>
              <w:fldChar w:fldCharType="separate"/>
            </w:r>
            <w:r>
              <w:rPr>
                <w:noProof/>
                <w:webHidden/>
              </w:rPr>
              <w:t>10</w:t>
            </w:r>
            <w:r>
              <w:rPr>
                <w:noProof/>
                <w:webHidden/>
              </w:rPr>
              <w:fldChar w:fldCharType="end"/>
            </w:r>
          </w:hyperlink>
        </w:p>
        <w:p w14:paraId="71CCD1E3" w14:textId="4D18E6C4" w:rsidR="00606686" w:rsidRDefault="00606686">
          <w:pPr>
            <w:pStyle w:val="TOC1"/>
            <w:tabs>
              <w:tab w:val="right" w:leader="dot" w:pos="9760"/>
            </w:tabs>
            <w:rPr>
              <w:rFonts w:asciiTheme="minorHAnsi" w:eastAsiaTheme="minorEastAsia" w:hAnsiTheme="minorHAnsi" w:cstheme="minorBidi"/>
              <w:noProof/>
              <w:kern w:val="2"/>
              <w:lang w:bidi="ar-SA"/>
              <w14:ligatures w14:val="standardContextual"/>
            </w:rPr>
          </w:pPr>
          <w:hyperlink w:anchor="_Toc202965720" w:history="1">
            <w:r w:rsidRPr="00C07D2D">
              <w:rPr>
                <w:rStyle w:val="Hyperlink"/>
                <w:noProof/>
              </w:rPr>
              <w:t>APPENDIX C - List of providers of primary medical services; Humber &amp; North Yorkshire</w:t>
            </w:r>
            <w:r>
              <w:rPr>
                <w:noProof/>
                <w:webHidden/>
              </w:rPr>
              <w:tab/>
            </w:r>
            <w:r>
              <w:rPr>
                <w:noProof/>
                <w:webHidden/>
              </w:rPr>
              <w:fldChar w:fldCharType="begin"/>
            </w:r>
            <w:r>
              <w:rPr>
                <w:noProof/>
                <w:webHidden/>
              </w:rPr>
              <w:instrText xml:space="preserve"> PAGEREF _Toc202965720 \h </w:instrText>
            </w:r>
            <w:r>
              <w:rPr>
                <w:noProof/>
                <w:webHidden/>
              </w:rPr>
            </w:r>
            <w:r>
              <w:rPr>
                <w:noProof/>
                <w:webHidden/>
              </w:rPr>
              <w:fldChar w:fldCharType="separate"/>
            </w:r>
            <w:r>
              <w:rPr>
                <w:noProof/>
                <w:webHidden/>
              </w:rPr>
              <w:t>10</w:t>
            </w:r>
            <w:r>
              <w:rPr>
                <w:noProof/>
                <w:webHidden/>
              </w:rPr>
              <w:fldChar w:fldCharType="end"/>
            </w:r>
          </w:hyperlink>
        </w:p>
        <w:p w14:paraId="4BAC8059" w14:textId="599CE65A" w:rsidR="00A20E49" w:rsidRDefault="00A20E49">
          <w:r>
            <w:rPr>
              <w:b/>
              <w:bCs/>
              <w:noProof/>
            </w:rPr>
            <w:fldChar w:fldCharType="end"/>
          </w:r>
        </w:p>
      </w:sdtContent>
    </w:sdt>
    <w:p w14:paraId="08B1D7E7" w14:textId="77777777" w:rsidR="00556DDB" w:rsidRDefault="00556DDB"/>
    <w:p w14:paraId="4E1313ED" w14:textId="77777777" w:rsidR="00110D0E" w:rsidRDefault="00110D0E"/>
    <w:p w14:paraId="3985D1DE" w14:textId="77777777" w:rsidR="00110D0E" w:rsidRDefault="00110D0E"/>
    <w:p w14:paraId="36E0B586" w14:textId="77777777" w:rsidR="00110D0E" w:rsidRDefault="00110D0E"/>
    <w:p w14:paraId="5F803E3D" w14:textId="77777777" w:rsidR="00110D0E" w:rsidRDefault="00110D0E"/>
    <w:p w14:paraId="23204F8F" w14:textId="77777777" w:rsidR="00110D0E" w:rsidRDefault="00110D0E"/>
    <w:p w14:paraId="6AA96245" w14:textId="77777777" w:rsidR="00110D0E" w:rsidRDefault="00110D0E"/>
    <w:p w14:paraId="5374DA01" w14:textId="77777777" w:rsidR="00110D0E" w:rsidRDefault="00110D0E"/>
    <w:p w14:paraId="51926320" w14:textId="77777777" w:rsidR="00110D0E" w:rsidRDefault="00110D0E"/>
    <w:p w14:paraId="0E3CAE2D" w14:textId="77777777" w:rsidR="00110D0E" w:rsidRDefault="00110D0E"/>
    <w:p w14:paraId="22E5FB41" w14:textId="77777777" w:rsidR="00110D0E" w:rsidRDefault="00110D0E"/>
    <w:p w14:paraId="3EDE0D02" w14:textId="77777777" w:rsidR="00110D0E" w:rsidRDefault="00110D0E"/>
    <w:p w14:paraId="335FFE35" w14:textId="2F670914" w:rsidR="0082715F" w:rsidRDefault="0082715F">
      <w:r>
        <w:br w:type="page"/>
      </w:r>
    </w:p>
    <w:p w14:paraId="32D969FB" w14:textId="77777777" w:rsidR="00110D0E" w:rsidRDefault="00110D0E"/>
    <w:p w14:paraId="40A15FB7" w14:textId="77777777" w:rsidR="00110D0E" w:rsidRDefault="00110D0E"/>
    <w:p w14:paraId="0B262937" w14:textId="0DF128E7" w:rsidR="00556DDB" w:rsidRPr="003E0725" w:rsidRDefault="00C51ED5" w:rsidP="009F1DB5">
      <w:pPr>
        <w:pStyle w:val="Heading1"/>
        <w:numPr>
          <w:ilvl w:val="1"/>
          <w:numId w:val="4"/>
        </w:numPr>
        <w:tabs>
          <w:tab w:val="left" w:pos="821"/>
          <w:tab w:val="left" w:pos="822"/>
        </w:tabs>
        <w:ind w:hanging="722"/>
      </w:pPr>
      <w:bookmarkStart w:id="0" w:name="_Toc202965704"/>
      <w:r w:rsidRPr="003E0725">
        <w:t>INTRODUCTION</w:t>
      </w:r>
      <w:bookmarkEnd w:id="0"/>
    </w:p>
    <w:p w14:paraId="5207CAEB" w14:textId="77777777" w:rsidR="00556DDB" w:rsidRPr="003E0725" w:rsidRDefault="00556DDB" w:rsidP="009F1DB5">
      <w:pPr>
        <w:pStyle w:val="BodyText"/>
        <w:rPr>
          <w:b/>
        </w:rPr>
      </w:pPr>
    </w:p>
    <w:p w14:paraId="10008317" w14:textId="77777777" w:rsidR="00556DDB" w:rsidRPr="003E0725" w:rsidRDefault="00C51ED5" w:rsidP="009F1DB5">
      <w:pPr>
        <w:pStyle w:val="Heading1"/>
        <w:numPr>
          <w:ilvl w:val="1"/>
          <w:numId w:val="4"/>
        </w:numPr>
        <w:tabs>
          <w:tab w:val="left" w:pos="821"/>
          <w:tab w:val="left" w:pos="822"/>
        </w:tabs>
        <w:ind w:hanging="722"/>
      </w:pPr>
      <w:bookmarkStart w:id="1" w:name="_Toc202965705"/>
      <w:r w:rsidRPr="003E0725">
        <w:t>Who are we?</w:t>
      </w:r>
      <w:bookmarkEnd w:id="1"/>
    </w:p>
    <w:p w14:paraId="7EB1B8DB" w14:textId="77777777" w:rsidR="00556DDB" w:rsidRPr="003E0725" w:rsidRDefault="00556DDB" w:rsidP="009F1DB5">
      <w:pPr>
        <w:pStyle w:val="BodyText"/>
        <w:rPr>
          <w:b/>
        </w:rPr>
      </w:pPr>
    </w:p>
    <w:p w14:paraId="030DAFE9" w14:textId="77777777" w:rsidR="00556DDB" w:rsidRDefault="00C51ED5" w:rsidP="00435C74">
      <w:pPr>
        <w:pStyle w:val="BodyText"/>
        <w:ind w:left="821" w:right="-11"/>
        <w:jc w:val="both"/>
      </w:pPr>
      <w:r w:rsidRPr="003E0725">
        <w:t>The NHS Humber and North Yorkshire Integrated Care Board (ICB) is a statutory NHS body</w:t>
      </w:r>
      <w:r w:rsidRPr="003E0725">
        <w:rPr>
          <w:spacing w:val="-14"/>
        </w:rPr>
        <w:t xml:space="preserve"> </w:t>
      </w:r>
      <w:r w:rsidRPr="003E0725">
        <w:t>with</w:t>
      </w:r>
      <w:r w:rsidRPr="003E0725">
        <w:rPr>
          <w:spacing w:val="-13"/>
        </w:rPr>
        <w:t xml:space="preserve"> </w:t>
      </w:r>
      <w:r w:rsidRPr="003E0725">
        <w:t>those</w:t>
      </w:r>
      <w:r w:rsidRPr="003E0725">
        <w:rPr>
          <w:spacing w:val="-13"/>
        </w:rPr>
        <w:t xml:space="preserve"> </w:t>
      </w:r>
      <w:r w:rsidRPr="003E0725">
        <w:t>functions</w:t>
      </w:r>
      <w:r w:rsidRPr="003E0725">
        <w:rPr>
          <w:spacing w:val="-12"/>
        </w:rPr>
        <w:t xml:space="preserve"> </w:t>
      </w:r>
      <w:r w:rsidRPr="003E0725">
        <w:t>and</w:t>
      </w:r>
      <w:r w:rsidRPr="003E0725">
        <w:rPr>
          <w:spacing w:val="-13"/>
        </w:rPr>
        <w:t xml:space="preserve"> </w:t>
      </w:r>
      <w:r w:rsidRPr="003E0725">
        <w:t>duties</w:t>
      </w:r>
      <w:r w:rsidRPr="003E0725">
        <w:rPr>
          <w:spacing w:val="-13"/>
        </w:rPr>
        <w:t xml:space="preserve"> </w:t>
      </w:r>
      <w:r w:rsidRPr="003E0725">
        <w:t>conferred</w:t>
      </w:r>
      <w:r w:rsidRPr="003E0725">
        <w:rPr>
          <w:spacing w:val="-11"/>
        </w:rPr>
        <w:t xml:space="preserve"> </w:t>
      </w:r>
      <w:r w:rsidRPr="003E0725">
        <w:t>to</w:t>
      </w:r>
      <w:r w:rsidRPr="003E0725">
        <w:rPr>
          <w:spacing w:val="-11"/>
        </w:rPr>
        <w:t xml:space="preserve"> </w:t>
      </w:r>
      <w:r w:rsidRPr="003E0725">
        <w:t>it</w:t>
      </w:r>
      <w:r w:rsidRPr="003E0725">
        <w:rPr>
          <w:spacing w:val="-14"/>
        </w:rPr>
        <w:t xml:space="preserve"> </w:t>
      </w:r>
      <w:r w:rsidRPr="003E0725">
        <w:t>as</w:t>
      </w:r>
      <w:r w:rsidRPr="003E0725">
        <w:rPr>
          <w:spacing w:val="-14"/>
        </w:rPr>
        <w:t xml:space="preserve"> </w:t>
      </w:r>
      <w:r w:rsidRPr="003E0725">
        <w:t>set</w:t>
      </w:r>
      <w:r w:rsidRPr="003E0725">
        <w:rPr>
          <w:spacing w:val="-12"/>
        </w:rPr>
        <w:t xml:space="preserve"> </w:t>
      </w:r>
      <w:r w:rsidRPr="003E0725">
        <w:t>out</w:t>
      </w:r>
      <w:r w:rsidRPr="003E0725">
        <w:rPr>
          <w:spacing w:val="-13"/>
        </w:rPr>
        <w:t xml:space="preserve"> </w:t>
      </w:r>
      <w:r w:rsidRPr="003E0725">
        <w:t>within</w:t>
      </w:r>
      <w:r w:rsidRPr="003E0725">
        <w:rPr>
          <w:spacing w:val="-13"/>
        </w:rPr>
        <w:t xml:space="preserve"> </w:t>
      </w:r>
      <w:r w:rsidRPr="003E0725">
        <w:t>the</w:t>
      </w:r>
      <w:r w:rsidRPr="003E0725">
        <w:rPr>
          <w:spacing w:val="-11"/>
        </w:rPr>
        <w:t xml:space="preserve"> </w:t>
      </w:r>
      <w:r w:rsidRPr="003E0725">
        <w:t>Health</w:t>
      </w:r>
      <w:r w:rsidRPr="003E0725">
        <w:rPr>
          <w:spacing w:val="-13"/>
        </w:rPr>
        <w:t xml:space="preserve"> </w:t>
      </w:r>
      <w:r w:rsidRPr="003E0725">
        <w:t>and</w:t>
      </w:r>
      <w:r w:rsidRPr="003E0725">
        <w:rPr>
          <w:spacing w:val="-13"/>
        </w:rPr>
        <w:t xml:space="preserve"> </w:t>
      </w:r>
      <w:r w:rsidRPr="003E0725">
        <w:t>Care Act 2022 (The Act).</w:t>
      </w:r>
    </w:p>
    <w:p w14:paraId="563EA2FA" w14:textId="77777777" w:rsidR="003E0725" w:rsidRPr="003E0725" w:rsidRDefault="003E0725" w:rsidP="00435C74">
      <w:pPr>
        <w:pStyle w:val="BodyText"/>
        <w:ind w:left="821" w:right="527"/>
        <w:jc w:val="both"/>
      </w:pPr>
    </w:p>
    <w:p w14:paraId="3F2224FB" w14:textId="7F1D341E" w:rsidR="00556DDB" w:rsidRDefault="00C51ED5" w:rsidP="00435C74">
      <w:pPr>
        <w:pStyle w:val="BodyText"/>
        <w:ind w:left="821" w:right="-11"/>
        <w:jc w:val="both"/>
      </w:pPr>
      <w:r w:rsidRPr="003E0725">
        <w:t>The ICB forms part of the Humber and North Yorkshire Integrated Care System (ICS) which</w:t>
      </w:r>
      <w:r w:rsidRPr="003E0725">
        <w:rPr>
          <w:spacing w:val="-13"/>
        </w:rPr>
        <w:t xml:space="preserve"> </w:t>
      </w:r>
      <w:r w:rsidRPr="003E0725">
        <w:t>brings</w:t>
      </w:r>
      <w:r w:rsidRPr="003E0725">
        <w:rPr>
          <w:spacing w:val="-14"/>
        </w:rPr>
        <w:t xml:space="preserve"> </w:t>
      </w:r>
      <w:r w:rsidRPr="003E0725">
        <w:t>together</w:t>
      </w:r>
      <w:r w:rsidRPr="003E0725">
        <w:rPr>
          <w:spacing w:val="-11"/>
        </w:rPr>
        <w:t xml:space="preserve"> </w:t>
      </w:r>
      <w:r w:rsidRPr="003E0725">
        <w:t>a</w:t>
      </w:r>
      <w:r w:rsidRPr="003E0725">
        <w:rPr>
          <w:spacing w:val="-15"/>
        </w:rPr>
        <w:t xml:space="preserve"> </w:t>
      </w:r>
      <w:r w:rsidRPr="003E0725">
        <w:t>partnership</w:t>
      </w:r>
      <w:r w:rsidRPr="003E0725">
        <w:rPr>
          <w:spacing w:val="-12"/>
        </w:rPr>
        <w:t xml:space="preserve"> </w:t>
      </w:r>
      <w:r w:rsidRPr="003E0725">
        <w:t>of</w:t>
      </w:r>
      <w:r w:rsidRPr="003E0725">
        <w:rPr>
          <w:spacing w:val="-12"/>
        </w:rPr>
        <w:t xml:space="preserve"> </w:t>
      </w:r>
      <w:r w:rsidRPr="003E0725">
        <w:t>the</w:t>
      </w:r>
      <w:r w:rsidRPr="003E0725">
        <w:rPr>
          <w:spacing w:val="-12"/>
        </w:rPr>
        <w:t xml:space="preserve"> </w:t>
      </w:r>
      <w:r w:rsidRPr="003E0725">
        <w:t>NHS,</w:t>
      </w:r>
      <w:r w:rsidRPr="003E0725">
        <w:rPr>
          <w:spacing w:val="-13"/>
        </w:rPr>
        <w:t xml:space="preserve"> </w:t>
      </w:r>
      <w:r w:rsidRPr="003E0725">
        <w:t>top</w:t>
      </w:r>
      <w:r w:rsidRPr="003E0725">
        <w:rPr>
          <w:spacing w:val="-15"/>
        </w:rPr>
        <w:t xml:space="preserve"> </w:t>
      </w:r>
      <w:r w:rsidRPr="003E0725">
        <w:t>tier</w:t>
      </w:r>
      <w:r w:rsidRPr="003E0725">
        <w:rPr>
          <w:spacing w:val="-15"/>
        </w:rPr>
        <w:t xml:space="preserve"> </w:t>
      </w:r>
      <w:r w:rsidRPr="003E0725">
        <w:t>local</w:t>
      </w:r>
      <w:r w:rsidRPr="003E0725">
        <w:rPr>
          <w:spacing w:val="-13"/>
        </w:rPr>
        <w:t xml:space="preserve"> </w:t>
      </w:r>
      <w:r w:rsidRPr="003E0725">
        <w:t>authorities</w:t>
      </w:r>
      <w:r w:rsidRPr="003E0725">
        <w:rPr>
          <w:spacing w:val="-13"/>
        </w:rPr>
        <w:t xml:space="preserve"> </w:t>
      </w:r>
      <w:r w:rsidRPr="003E0725">
        <w:t>and</w:t>
      </w:r>
      <w:r w:rsidRPr="003E0725">
        <w:rPr>
          <w:spacing w:val="-15"/>
        </w:rPr>
        <w:t xml:space="preserve"> </w:t>
      </w:r>
      <w:r w:rsidRPr="003E0725">
        <w:t>other</w:t>
      </w:r>
      <w:r w:rsidRPr="003E0725">
        <w:rPr>
          <w:spacing w:val="-15"/>
        </w:rPr>
        <w:t xml:space="preserve"> </w:t>
      </w:r>
      <w:r w:rsidRPr="003E0725">
        <w:t>health and care providers, including the voluntary, community and social enterprise sectors. It covers a diverse geographical area of more than 1500 square miles taking in cities, market towns and remote rural and coastal</w:t>
      </w:r>
      <w:r w:rsidRPr="003E0725">
        <w:rPr>
          <w:spacing w:val="-10"/>
        </w:rPr>
        <w:t xml:space="preserve"> </w:t>
      </w:r>
      <w:r w:rsidRPr="003E0725">
        <w:t>communities.</w:t>
      </w:r>
    </w:p>
    <w:p w14:paraId="53605751" w14:textId="77777777" w:rsidR="009F1DB5" w:rsidRPr="003E0725" w:rsidRDefault="009F1DB5" w:rsidP="00435C74">
      <w:pPr>
        <w:pStyle w:val="BodyText"/>
        <w:ind w:left="821" w:right="520"/>
        <w:jc w:val="both"/>
      </w:pPr>
    </w:p>
    <w:p w14:paraId="2939A59A" w14:textId="77777777" w:rsidR="00AC4D32" w:rsidRDefault="00C51ED5" w:rsidP="00435C74">
      <w:pPr>
        <w:pStyle w:val="BodyText"/>
        <w:ind w:left="821"/>
        <w:jc w:val="both"/>
      </w:pPr>
      <w:r w:rsidRPr="003E0725">
        <w:t>As per The Act, the ICB works together to achieve the triple aim of:</w:t>
      </w:r>
    </w:p>
    <w:p w14:paraId="5485162C" w14:textId="77777777" w:rsidR="00AC4D32" w:rsidRDefault="00AC4D32" w:rsidP="00435C74">
      <w:pPr>
        <w:pStyle w:val="BodyText"/>
        <w:ind w:left="821"/>
        <w:jc w:val="both"/>
      </w:pPr>
    </w:p>
    <w:p w14:paraId="7DC08909" w14:textId="7025F87A" w:rsidR="00AC4D32" w:rsidRDefault="00C51ED5" w:rsidP="00435C74">
      <w:pPr>
        <w:pStyle w:val="BodyText"/>
        <w:numPr>
          <w:ilvl w:val="0"/>
          <w:numId w:val="13"/>
        </w:numPr>
        <w:jc w:val="both"/>
      </w:pPr>
      <w:r w:rsidRPr="00AC4D32">
        <w:t>better health and wellbeing for</w:t>
      </w:r>
      <w:r w:rsidRPr="00AC4D32">
        <w:rPr>
          <w:spacing w:val="-4"/>
        </w:rPr>
        <w:t xml:space="preserve"> </w:t>
      </w:r>
      <w:r w:rsidRPr="00AC4D32">
        <w:t>everyone</w:t>
      </w:r>
      <w:r w:rsidR="00996C98">
        <w:t>,</w:t>
      </w:r>
    </w:p>
    <w:p w14:paraId="0CF63C91" w14:textId="77777777" w:rsidR="00AC4D32" w:rsidRDefault="00C51ED5" w:rsidP="00435C74">
      <w:pPr>
        <w:pStyle w:val="BodyText"/>
        <w:numPr>
          <w:ilvl w:val="0"/>
          <w:numId w:val="13"/>
        </w:numPr>
        <w:jc w:val="both"/>
      </w:pPr>
      <w:r w:rsidRPr="00AC4D32">
        <w:t>better care for all people,</w:t>
      </w:r>
      <w:r w:rsidRPr="00AC4D32">
        <w:rPr>
          <w:spacing w:val="-2"/>
        </w:rPr>
        <w:t xml:space="preserve"> </w:t>
      </w:r>
      <w:r w:rsidRPr="00AC4D32">
        <w:t>and</w:t>
      </w:r>
    </w:p>
    <w:p w14:paraId="51F60A1C" w14:textId="1284D544" w:rsidR="00556DDB" w:rsidRPr="00AC4D32" w:rsidRDefault="00C51ED5" w:rsidP="00435C74">
      <w:pPr>
        <w:pStyle w:val="BodyText"/>
        <w:numPr>
          <w:ilvl w:val="0"/>
          <w:numId w:val="13"/>
        </w:numPr>
        <w:jc w:val="both"/>
      </w:pPr>
      <w:r w:rsidRPr="00AC4D32">
        <w:t>the sustainable use of</w:t>
      </w:r>
      <w:r w:rsidRPr="00AC4D32">
        <w:rPr>
          <w:spacing w:val="-7"/>
        </w:rPr>
        <w:t xml:space="preserve"> </w:t>
      </w:r>
      <w:r w:rsidRPr="00AC4D32">
        <w:t>resources.</w:t>
      </w:r>
    </w:p>
    <w:p w14:paraId="3EC7C10A" w14:textId="77777777" w:rsidR="009F1DB5" w:rsidRPr="003E0725" w:rsidRDefault="009F1DB5" w:rsidP="009F1DB5">
      <w:pPr>
        <w:pStyle w:val="ListParagraph"/>
        <w:tabs>
          <w:tab w:val="left" w:pos="1181"/>
          <w:tab w:val="left" w:pos="1182"/>
        </w:tabs>
        <w:ind w:firstLine="0"/>
        <w:rPr>
          <w:sz w:val="24"/>
          <w:szCs w:val="24"/>
        </w:rPr>
      </w:pPr>
    </w:p>
    <w:p w14:paraId="3579BD62" w14:textId="4FF1B92A" w:rsidR="009F1DB5" w:rsidRPr="003E0725" w:rsidRDefault="009F1DB5" w:rsidP="009164A5">
      <w:pPr>
        <w:pStyle w:val="BodyText"/>
        <w:ind w:left="720" w:right="-11"/>
        <w:jc w:val="both"/>
      </w:pPr>
    </w:p>
    <w:p w14:paraId="0846F4F4" w14:textId="510568F3" w:rsidR="00556DDB" w:rsidRDefault="00C51ED5" w:rsidP="009F1DB5">
      <w:pPr>
        <w:pStyle w:val="Heading1"/>
        <w:tabs>
          <w:tab w:val="left" w:pos="821"/>
        </w:tabs>
        <w:ind w:left="100"/>
      </w:pPr>
      <w:bookmarkStart w:id="2" w:name="_Toc202965706"/>
      <w:r w:rsidRPr="003E0725">
        <w:t>2.0</w:t>
      </w:r>
      <w:r w:rsidRPr="003E0725">
        <w:tab/>
        <w:t>PURPOSE OF THE GOVERNANCE HANDBOOK AND</w:t>
      </w:r>
      <w:r w:rsidRPr="003E0725">
        <w:rPr>
          <w:spacing w:val="-9"/>
        </w:rPr>
        <w:t xml:space="preserve"> </w:t>
      </w:r>
      <w:r w:rsidRPr="003E0725">
        <w:t>ACCOUNTABILITY</w:t>
      </w:r>
      <w:bookmarkEnd w:id="2"/>
    </w:p>
    <w:p w14:paraId="415DF71D" w14:textId="77777777" w:rsidR="009F1DB5" w:rsidRPr="009F1DB5" w:rsidRDefault="009F1DB5" w:rsidP="009F1DB5">
      <w:pPr>
        <w:rPr>
          <w:sz w:val="24"/>
          <w:szCs w:val="24"/>
        </w:rPr>
      </w:pPr>
    </w:p>
    <w:p w14:paraId="252FE38C" w14:textId="77777777" w:rsidR="00556DDB" w:rsidRDefault="00C51ED5" w:rsidP="00435C74">
      <w:pPr>
        <w:pStyle w:val="BodyText"/>
        <w:ind w:left="821" w:right="-11"/>
        <w:jc w:val="both"/>
      </w:pPr>
      <w:r w:rsidRPr="003E0725">
        <w:t>The NHS Humber and North Yorkshire ICB Governance Handbook sets out our governance structures and arrangements, including respective terms of reference, decision making powers and membership.</w:t>
      </w:r>
    </w:p>
    <w:p w14:paraId="01475DAE" w14:textId="77777777" w:rsidR="009F1DB5" w:rsidRPr="003E0725" w:rsidRDefault="009F1DB5" w:rsidP="00435C74">
      <w:pPr>
        <w:pStyle w:val="BodyText"/>
        <w:ind w:left="821" w:right="524"/>
        <w:jc w:val="both"/>
      </w:pPr>
    </w:p>
    <w:p w14:paraId="39394076" w14:textId="69F1248D" w:rsidR="00556DDB" w:rsidRDefault="00C51ED5" w:rsidP="00435C74">
      <w:pPr>
        <w:pStyle w:val="BodyText"/>
        <w:ind w:left="821" w:right="-11"/>
        <w:jc w:val="both"/>
      </w:pPr>
      <w:r w:rsidRPr="003E0725">
        <w:t>The</w:t>
      </w:r>
      <w:r w:rsidRPr="003E0725">
        <w:rPr>
          <w:spacing w:val="-9"/>
        </w:rPr>
        <w:t xml:space="preserve"> </w:t>
      </w:r>
      <w:r w:rsidRPr="003E0725">
        <w:t>Governance</w:t>
      </w:r>
      <w:r w:rsidRPr="003E0725">
        <w:rPr>
          <w:spacing w:val="-8"/>
        </w:rPr>
        <w:t xml:space="preserve"> </w:t>
      </w:r>
      <w:r w:rsidRPr="003E0725">
        <w:t>Handbook</w:t>
      </w:r>
      <w:r w:rsidRPr="003E0725">
        <w:rPr>
          <w:spacing w:val="-6"/>
        </w:rPr>
        <w:t xml:space="preserve"> </w:t>
      </w:r>
      <w:r w:rsidRPr="003E0725">
        <w:t>brings</w:t>
      </w:r>
      <w:r w:rsidRPr="003E0725">
        <w:rPr>
          <w:spacing w:val="-9"/>
        </w:rPr>
        <w:t xml:space="preserve"> </w:t>
      </w:r>
      <w:r w:rsidRPr="003E0725">
        <w:t>together</w:t>
      </w:r>
      <w:r w:rsidRPr="003E0725">
        <w:rPr>
          <w:spacing w:val="-10"/>
        </w:rPr>
        <w:t xml:space="preserve"> </w:t>
      </w:r>
      <w:r w:rsidRPr="003E0725">
        <w:t>a</w:t>
      </w:r>
      <w:r w:rsidRPr="003E0725">
        <w:rPr>
          <w:spacing w:val="-11"/>
        </w:rPr>
        <w:t xml:space="preserve"> </w:t>
      </w:r>
      <w:r w:rsidRPr="003E0725">
        <w:t>wide</w:t>
      </w:r>
      <w:r w:rsidRPr="003E0725">
        <w:rPr>
          <w:spacing w:val="-6"/>
        </w:rPr>
        <w:t xml:space="preserve"> </w:t>
      </w:r>
      <w:r w:rsidRPr="003E0725">
        <w:t>range</w:t>
      </w:r>
      <w:r w:rsidRPr="003E0725">
        <w:rPr>
          <w:spacing w:val="-8"/>
        </w:rPr>
        <w:t xml:space="preserve"> </w:t>
      </w:r>
      <w:r w:rsidRPr="003E0725">
        <w:t>of</w:t>
      </w:r>
      <w:r w:rsidRPr="003E0725">
        <w:rPr>
          <w:spacing w:val="-9"/>
        </w:rPr>
        <w:t xml:space="preserve"> </w:t>
      </w:r>
      <w:r w:rsidRPr="003E0725">
        <w:t>documents</w:t>
      </w:r>
      <w:r w:rsidRPr="003E0725">
        <w:rPr>
          <w:spacing w:val="-9"/>
        </w:rPr>
        <w:t xml:space="preserve"> </w:t>
      </w:r>
      <w:r w:rsidRPr="003E0725">
        <w:t>that</w:t>
      </w:r>
      <w:r w:rsidRPr="003E0725">
        <w:rPr>
          <w:spacing w:val="-9"/>
        </w:rPr>
        <w:t xml:space="preserve"> </w:t>
      </w:r>
      <w:r w:rsidRPr="003E0725">
        <w:t>support</w:t>
      </w:r>
      <w:r w:rsidRPr="003E0725">
        <w:rPr>
          <w:spacing w:val="-11"/>
        </w:rPr>
        <w:t xml:space="preserve"> </w:t>
      </w:r>
      <w:r w:rsidRPr="003E0725">
        <w:t>our Constitution and our commitment to the principles of good</w:t>
      </w:r>
      <w:r w:rsidRPr="003E0725">
        <w:rPr>
          <w:spacing w:val="-10"/>
        </w:rPr>
        <w:t xml:space="preserve"> </w:t>
      </w:r>
      <w:r w:rsidRPr="003E0725">
        <w:t>governance.</w:t>
      </w:r>
      <w:r w:rsidR="009C4881" w:rsidRPr="003E0725">
        <w:t xml:space="preserve"> This handbook is not a legal requirement; however, it will assist the ICB to build a consistent corporate approach and form part of the corporate memory.</w:t>
      </w:r>
    </w:p>
    <w:p w14:paraId="3EA0B79A" w14:textId="77777777" w:rsidR="009F1DB5" w:rsidRPr="003E0725" w:rsidRDefault="009F1DB5" w:rsidP="009F1DB5">
      <w:pPr>
        <w:pStyle w:val="BodyText"/>
        <w:ind w:left="821" w:right="-11"/>
      </w:pPr>
    </w:p>
    <w:p w14:paraId="646AB719" w14:textId="77777777" w:rsidR="00556DDB" w:rsidRDefault="00C51ED5" w:rsidP="00435C74">
      <w:pPr>
        <w:pStyle w:val="BodyText"/>
        <w:ind w:left="821" w:right="-11"/>
        <w:jc w:val="both"/>
      </w:pPr>
      <w:r w:rsidRPr="003E0725">
        <w:t>Amendments to any documents contained within this Governance Handbook are approved in line with the arrangements detailed within the</w:t>
      </w:r>
      <w:r w:rsidRPr="003E0725">
        <w:rPr>
          <w:spacing w:val="-7"/>
        </w:rPr>
        <w:t xml:space="preserve"> </w:t>
      </w:r>
      <w:r w:rsidRPr="003E0725">
        <w:t>Constitution.</w:t>
      </w:r>
    </w:p>
    <w:p w14:paraId="069298C1" w14:textId="77777777" w:rsidR="009F1DB5" w:rsidRPr="003E0725" w:rsidRDefault="009F1DB5" w:rsidP="00435C74">
      <w:pPr>
        <w:pStyle w:val="BodyText"/>
        <w:ind w:left="821" w:right="530"/>
        <w:jc w:val="both"/>
      </w:pPr>
    </w:p>
    <w:p w14:paraId="6CFF17D1" w14:textId="3C9B0FE7" w:rsidR="00556DDB" w:rsidRPr="003E0725" w:rsidRDefault="00C51ED5" w:rsidP="00435C74">
      <w:pPr>
        <w:pStyle w:val="BodyText"/>
        <w:ind w:left="821" w:right="-11"/>
        <w:jc w:val="both"/>
      </w:pPr>
      <w:r w:rsidRPr="003E0725">
        <w:t>The Governance Handbook will be updated at least annually and</w:t>
      </w:r>
      <w:r w:rsidRPr="003E0725">
        <w:rPr>
          <w:spacing w:val="-17"/>
        </w:rPr>
        <w:t xml:space="preserve"> </w:t>
      </w:r>
      <w:r w:rsidRPr="003E0725">
        <w:t>will</w:t>
      </w:r>
      <w:r w:rsidRPr="003E0725">
        <w:rPr>
          <w:spacing w:val="-17"/>
        </w:rPr>
        <w:t xml:space="preserve"> </w:t>
      </w:r>
      <w:r w:rsidRPr="003E0725">
        <w:t>be</w:t>
      </w:r>
      <w:r w:rsidRPr="003E0725">
        <w:rPr>
          <w:spacing w:val="-17"/>
        </w:rPr>
        <w:t xml:space="preserve"> </w:t>
      </w:r>
      <w:r w:rsidRPr="003E0725">
        <w:t>published</w:t>
      </w:r>
      <w:r w:rsidRPr="003E0725">
        <w:rPr>
          <w:spacing w:val="-19"/>
        </w:rPr>
        <w:t xml:space="preserve"> </w:t>
      </w:r>
      <w:r w:rsidRPr="003E0725">
        <w:t>on</w:t>
      </w:r>
      <w:r w:rsidRPr="003E0725">
        <w:rPr>
          <w:spacing w:val="-17"/>
        </w:rPr>
        <w:t xml:space="preserve"> </w:t>
      </w:r>
      <w:r w:rsidRPr="003E0725">
        <w:t>the</w:t>
      </w:r>
      <w:r w:rsidRPr="003E0725">
        <w:rPr>
          <w:spacing w:val="-17"/>
        </w:rPr>
        <w:t xml:space="preserve"> </w:t>
      </w:r>
      <w:hyperlink r:id="rId11" w:history="1">
        <w:r w:rsidRPr="009B2DBF">
          <w:rPr>
            <w:rStyle w:val="Hyperlink"/>
          </w:rPr>
          <w:t>NHS</w:t>
        </w:r>
        <w:r w:rsidRPr="009B2DBF">
          <w:rPr>
            <w:rStyle w:val="Hyperlink"/>
            <w:spacing w:val="-17"/>
          </w:rPr>
          <w:t xml:space="preserve"> </w:t>
        </w:r>
        <w:r w:rsidRPr="009B2DBF">
          <w:rPr>
            <w:rStyle w:val="Hyperlink"/>
          </w:rPr>
          <w:t>Humber</w:t>
        </w:r>
        <w:r w:rsidRPr="009B2DBF">
          <w:rPr>
            <w:rStyle w:val="Hyperlink"/>
            <w:spacing w:val="-18"/>
          </w:rPr>
          <w:t xml:space="preserve"> </w:t>
        </w:r>
        <w:r w:rsidRPr="009B2DBF">
          <w:rPr>
            <w:rStyle w:val="Hyperlink"/>
          </w:rPr>
          <w:t>and</w:t>
        </w:r>
        <w:r w:rsidRPr="009B2DBF">
          <w:rPr>
            <w:rStyle w:val="Hyperlink"/>
            <w:spacing w:val="-17"/>
          </w:rPr>
          <w:t xml:space="preserve"> </w:t>
        </w:r>
        <w:r w:rsidRPr="009B2DBF">
          <w:rPr>
            <w:rStyle w:val="Hyperlink"/>
          </w:rPr>
          <w:t>North</w:t>
        </w:r>
        <w:r w:rsidRPr="009B2DBF">
          <w:rPr>
            <w:rStyle w:val="Hyperlink"/>
            <w:spacing w:val="-19"/>
          </w:rPr>
          <w:t xml:space="preserve"> </w:t>
        </w:r>
        <w:r w:rsidRPr="009B2DBF">
          <w:rPr>
            <w:rStyle w:val="Hyperlink"/>
          </w:rPr>
          <w:t>Yorkshire</w:t>
        </w:r>
        <w:r w:rsidRPr="009B2DBF">
          <w:rPr>
            <w:rStyle w:val="Hyperlink"/>
            <w:spacing w:val="-17"/>
          </w:rPr>
          <w:t xml:space="preserve"> </w:t>
        </w:r>
        <w:r w:rsidRPr="009B2DBF">
          <w:rPr>
            <w:rStyle w:val="Hyperlink"/>
          </w:rPr>
          <w:t>ICB</w:t>
        </w:r>
        <w:r w:rsidRPr="009B2DBF">
          <w:rPr>
            <w:rStyle w:val="Hyperlink"/>
            <w:spacing w:val="-17"/>
          </w:rPr>
          <w:t xml:space="preserve"> </w:t>
        </w:r>
        <w:r w:rsidR="009B2DBF" w:rsidRPr="009B2DBF">
          <w:rPr>
            <w:rStyle w:val="Hyperlink"/>
          </w:rPr>
          <w:t>website</w:t>
        </w:r>
      </w:hyperlink>
      <w:r w:rsidR="009F1DB5">
        <w:rPr>
          <w:color w:val="0000FF"/>
          <w:u w:val="single"/>
        </w:rPr>
        <w:t>.</w:t>
      </w:r>
    </w:p>
    <w:p w14:paraId="1B31EFA3" w14:textId="77777777" w:rsidR="00556DDB" w:rsidRPr="003E0725" w:rsidRDefault="00556DDB" w:rsidP="009F1DB5">
      <w:pPr>
        <w:pStyle w:val="BodyText"/>
      </w:pPr>
    </w:p>
    <w:p w14:paraId="65C3097E" w14:textId="77777777" w:rsidR="00556DDB" w:rsidRPr="003E0725" w:rsidRDefault="00C51ED5" w:rsidP="009F1DB5">
      <w:pPr>
        <w:pStyle w:val="Heading1"/>
        <w:numPr>
          <w:ilvl w:val="1"/>
          <w:numId w:val="3"/>
        </w:numPr>
        <w:tabs>
          <w:tab w:val="left" w:pos="821"/>
          <w:tab w:val="left" w:pos="822"/>
        </w:tabs>
        <w:ind w:hanging="722"/>
      </w:pPr>
      <w:bookmarkStart w:id="3" w:name="_Toc202965707"/>
      <w:r w:rsidRPr="003E0725">
        <w:t>DECISION MAKING: OUR</w:t>
      </w:r>
      <w:r w:rsidRPr="003E0725">
        <w:rPr>
          <w:spacing w:val="-2"/>
        </w:rPr>
        <w:t xml:space="preserve"> </w:t>
      </w:r>
      <w:r w:rsidRPr="003E0725">
        <w:t>GOVERNANCE</w:t>
      </w:r>
      <w:bookmarkEnd w:id="3"/>
    </w:p>
    <w:p w14:paraId="06501958" w14:textId="77777777" w:rsidR="00556DDB" w:rsidRPr="003E0725" w:rsidRDefault="00556DDB" w:rsidP="009F1DB5">
      <w:pPr>
        <w:pStyle w:val="BodyText"/>
        <w:rPr>
          <w:b/>
        </w:rPr>
      </w:pPr>
    </w:p>
    <w:p w14:paraId="49E8EE07" w14:textId="77777777" w:rsidR="00556DDB" w:rsidRPr="003E0725" w:rsidRDefault="00C51ED5" w:rsidP="00191E52">
      <w:pPr>
        <w:pStyle w:val="Heading1"/>
        <w:numPr>
          <w:ilvl w:val="1"/>
          <w:numId w:val="3"/>
        </w:numPr>
        <w:tabs>
          <w:tab w:val="left" w:pos="821"/>
        </w:tabs>
        <w:ind w:hanging="722"/>
      </w:pPr>
      <w:bookmarkStart w:id="4" w:name="_Toc202965708"/>
      <w:r w:rsidRPr="003E0725">
        <w:t>The Role of Our</w:t>
      </w:r>
      <w:r w:rsidRPr="003E0725">
        <w:rPr>
          <w:spacing w:val="1"/>
        </w:rPr>
        <w:t xml:space="preserve"> </w:t>
      </w:r>
      <w:r w:rsidRPr="003E0725">
        <w:t>Board</w:t>
      </w:r>
      <w:bookmarkEnd w:id="4"/>
    </w:p>
    <w:p w14:paraId="08007111" w14:textId="77777777" w:rsidR="00556DDB" w:rsidRPr="003E0725" w:rsidRDefault="00556DDB" w:rsidP="009F1DB5">
      <w:pPr>
        <w:pStyle w:val="BodyText"/>
        <w:rPr>
          <w:b/>
        </w:rPr>
      </w:pPr>
    </w:p>
    <w:p w14:paraId="13FE4995" w14:textId="3E358043" w:rsidR="00556DDB" w:rsidRPr="003E0725" w:rsidRDefault="00C51ED5" w:rsidP="00435C74">
      <w:pPr>
        <w:pStyle w:val="BodyText"/>
        <w:ind w:left="821" w:right="-11"/>
        <w:jc w:val="both"/>
      </w:pPr>
      <w:r w:rsidRPr="003E0725">
        <w:t>The</w:t>
      </w:r>
      <w:r w:rsidRPr="003E0725">
        <w:rPr>
          <w:spacing w:val="-13"/>
        </w:rPr>
        <w:t xml:space="preserve"> </w:t>
      </w:r>
      <w:r w:rsidRPr="003E0725">
        <w:t>NHS</w:t>
      </w:r>
      <w:r w:rsidRPr="003E0725">
        <w:rPr>
          <w:spacing w:val="-13"/>
        </w:rPr>
        <w:t xml:space="preserve"> </w:t>
      </w:r>
      <w:r w:rsidRPr="003E0725">
        <w:t>Humber</w:t>
      </w:r>
      <w:r w:rsidRPr="003E0725">
        <w:rPr>
          <w:spacing w:val="-14"/>
        </w:rPr>
        <w:t xml:space="preserve"> </w:t>
      </w:r>
      <w:r w:rsidRPr="003E0725">
        <w:t>and</w:t>
      </w:r>
      <w:r w:rsidRPr="003E0725">
        <w:rPr>
          <w:spacing w:val="-16"/>
        </w:rPr>
        <w:t xml:space="preserve"> </w:t>
      </w:r>
      <w:r w:rsidRPr="003E0725">
        <w:t>North</w:t>
      </w:r>
      <w:r w:rsidRPr="003E0725">
        <w:rPr>
          <w:spacing w:val="-12"/>
        </w:rPr>
        <w:t xml:space="preserve"> </w:t>
      </w:r>
      <w:r w:rsidRPr="003E0725">
        <w:t>Yorkshire</w:t>
      </w:r>
      <w:r w:rsidRPr="003E0725">
        <w:rPr>
          <w:spacing w:val="-13"/>
        </w:rPr>
        <w:t xml:space="preserve"> </w:t>
      </w:r>
      <w:r w:rsidRPr="003E0725">
        <w:t>ICB</w:t>
      </w:r>
      <w:r w:rsidRPr="003E0725">
        <w:rPr>
          <w:spacing w:val="-12"/>
        </w:rPr>
        <w:t xml:space="preserve"> </w:t>
      </w:r>
      <w:r w:rsidRPr="003E0725">
        <w:t>has</w:t>
      </w:r>
      <w:r w:rsidRPr="003E0725">
        <w:rPr>
          <w:spacing w:val="-13"/>
        </w:rPr>
        <w:t xml:space="preserve"> </w:t>
      </w:r>
      <w:r w:rsidRPr="003E0725">
        <w:t>a</w:t>
      </w:r>
      <w:r w:rsidRPr="003E0725">
        <w:rPr>
          <w:spacing w:val="-15"/>
        </w:rPr>
        <w:t xml:space="preserve"> </w:t>
      </w:r>
      <w:r w:rsidRPr="003E0725">
        <w:t>unitary</w:t>
      </w:r>
      <w:r w:rsidRPr="003E0725">
        <w:rPr>
          <w:spacing w:val="-15"/>
        </w:rPr>
        <w:t xml:space="preserve"> </w:t>
      </w:r>
      <w:r w:rsidRPr="003E0725">
        <w:t>Board,</w:t>
      </w:r>
      <w:r w:rsidRPr="003E0725">
        <w:rPr>
          <w:spacing w:val="-13"/>
        </w:rPr>
        <w:t xml:space="preserve"> </w:t>
      </w:r>
      <w:r w:rsidRPr="003E0725">
        <w:t>led</w:t>
      </w:r>
      <w:r w:rsidRPr="003E0725">
        <w:rPr>
          <w:spacing w:val="-13"/>
        </w:rPr>
        <w:t xml:space="preserve"> </w:t>
      </w:r>
      <w:r w:rsidRPr="003E0725">
        <w:t>by</w:t>
      </w:r>
      <w:r w:rsidRPr="003E0725">
        <w:rPr>
          <w:spacing w:val="-13"/>
        </w:rPr>
        <w:t xml:space="preserve"> </w:t>
      </w:r>
      <w:r w:rsidRPr="003E0725">
        <w:t>a</w:t>
      </w:r>
      <w:r w:rsidRPr="003E0725">
        <w:rPr>
          <w:spacing w:val="-13"/>
        </w:rPr>
        <w:t xml:space="preserve"> </w:t>
      </w:r>
      <w:r w:rsidRPr="003E0725">
        <w:t>Chair</w:t>
      </w:r>
      <w:r w:rsidRPr="003E0725">
        <w:rPr>
          <w:spacing w:val="-14"/>
        </w:rPr>
        <w:t xml:space="preserve"> </w:t>
      </w:r>
      <w:r w:rsidRPr="003E0725">
        <w:t>and</w:t>
      </w:r>
      <w:r w:rsidRPr="003E0725">
        <w:rPr>
          <w:spacing w:val="-13"/>
        </w:rPr>
        <w:t xml:space="preserve"> </w:t>
      </w:r>
      <w:r w:rsidRPr="003E0725">
        <w:t xml:space="preserve">Chief Executive. The purpose of the Board is to govern the organisation effectively and maintain public confidence in the discharge of its duties and ensure that services are safe, high quality, patient-centred and represent value for money. It provides strategic leadership within a framework of practical and effective controls which enables risk to be assessed and managed. Further details of the ICB Board can be found on </w:t>
      </w:r>
      <w:r w:rsidR="003F485B" w:rsidRPr="003E0725">
        <w:t xml:space="preserve">our </w:t>
      </w:r>
      <w:hyperlink r:id="rId12" w:history="1">
        <w:r w:rsidR="00A52D6B" w:rsidRPr="003E0725">
          <w:rPr>
            <w:rStyle w:val="Hyperlink"/>
          </w:rPr>
          <w:t>website</w:t>
        </w:r>
      </w:hyperlink>
      <w:r w:rsidR="009F1DB5">
        <w:rPr>
          <w:rStyle w:val="Hyperlink"/>
        </w:rPr>
        <w:t>.</w:t>
      </w:r>
    </w:p>
    <w:p w14:paraId="1168117B" w14:textId="77777777" w:rsidR="00556DDB" w:rsidRPr="003E0725" w:rsidRDefault="00556DDB" w:rsidP="00435C74">
      <w:pPr>
        <w:pStyle w:val="BodyText"/>
        <w:jc w:val="both"/>
      </w:pPr>
    </w:p>
    <w:p w14:paraId="60735A8C" w14:textId="444BAC35" w:rsidR="00556DDB" w:rsidRDefault="00C51ED5" w:rsidP="00435C74">
      <w:pPr>
        <w:pStyle w:val="BodyText"/>
        <w:ind w:left="821" w:right="-11"/>
        <w:jc w:val="both"/>
      </w:pPr>
      <w:r w:rsidRPr="003E0725">
        <w:t xml:space="preserve">The function of the Board includes allocating resources, financial accountability for </w:t>
      </w:r>
      <w:r w:rsidRPr="003E0725">
        <w:lastRenderedPageBreak/>
        <w:t>the public</w:t>
      </w:r>
      <w:r w:rsidRPr="003E0725">
        <w:rPr>
          <w:spacing w:val="-15"/>
        </w:rPr>
        <w:t xml:space="preserve"> </w:t>
      </w:r>
      <w:r w:rsidRPr="003E0725">
        <w:t>money</w:t>
      </w:r>
      <w:r w:rsidRPr="003E0725">
        <w:rPr>
          <w:spacing w:val="-12"/>
        </w:rPr>
        <w:t xml:space="preserve"> </w:t>
      </w:r>
      <w:r w:rsidRPr="003E0725">
        <w:t>it</w:t>
      </w:r>
      <w:r w:rsidRPr="003E0725">
        <w:rPr>
          <w:spacing w:val="-12"/>
        </w:rPr>
        <w:t xml:space="preserve"> </w:t>
      </w:r>
      <w:r w:rsidRPr="003E0725">
        <w:t>is</w:t>
      </w:r>
      <w:r w:rsidRPr="003E0725">
        <w:rPr>
          <w:spacing w:val="-12"/>
        </w:rPr>
        <w:t xml:space="preserve"> </w:t>
      </w:r>
      <w:r w:rsidRPr="003E0725">
        <w:t>responsible</w:t>
      </w:r>
      <w:r w:rsidRPr="003E0725">
        <w:rPr>
          <w:spacing w:val="-12"/>
        </w:rPr>
        <w:t xml:space="preserve"> </w:t>
      </w:r>
      <w:r w:rsidRPr="003E0725">
        <w:t>for,</w:t>
      </w:r>
      <w:r w:rsidRPr="003E0725">
        <w:rPr>
          <w:spacing w:val="-11"/>
        </w:rPr>
        <w:t xml:space="preserve"> </w:t>
      </w:r>
      <w:r w:rsidRPr="003E0725">
        <w:t>establishing</w:t>
      </w:r>
      <w:r w:rsidRPr="003E0725">
        <w:rPr>
          <w:spacing w:val="-11"/>
        </w:rPr>
        <w:t xml:space="preserve"> </w:t>
      </w:r>
      <w:r w:rsidRPr="003E0725">
        <w:t>joint</w:t>
      </w:r>
      <w:r w:rsidRPr="003E0725">
        <w:rPr>
          <w:spacing w:val="-12"/>
        </w:rPr>
        <w:t xml:space="preserve"> </w:t>
      </w:r>
      <w:r w:rsidRPr="003E0725">
        <w:t>working</w:t>
      </w:r>
      <w:r w:rsidRPr="003E0725">
        <w:rPr>
          <w:spacing w:val="-11"/>
        </w:rPr>
        <w:t xml:space="preserve"> </w:t>
      </w:r>
      <w:r w:rsidRPr="003E0725">
        <w:t>arrangements</w:t>
      </w:r>
      <w:r w:rsidRPr="003E0725">
        <w:rPr>
          <w:spacing w:val="-11"/>
        </w:rPr>
        <w:t xml:space="preserve"> </w:t>
      </w:r>
      <w:r w:rsidRPr="003E0725">
        <w:t>with</w:t>
      </w:r>
      <w:r w:rsidRPr="003E0725">
        <w:rPr>
          <w:spacing w:val="-13"/>
        </w:rPr>
        <w:t xml:space="preserve"> </w:t>
      </w:r>
      <w:r w:rsidRPr="003E0725">
        <w:t>partners, and leading system-wide action on workforce, digital and data capabilities, estates</w:t>
      </w:r>
      <w:r w:rsidR="00B50678" w:rsidRPr="003E0725">
        <w:t xml:space="preserve">, </w:t>
      </w:r>
      <w:r w:rsidRPr="003E0725">
        <w:t>and procurement.</w:t>
      </w:r>
    </w:p>
    <w:p w14:paraId="701AAE40" w14:textId="77777777" w:rsidR="009F1DB5" w:rsidRPr="003E0725" w:rsidRDefault="009F1DB5" w:rsidP="00435C74">
      <w:pPr>
        <w:pStyle w:val="BodyText"/>
        <w:ind w:left="821" w:right="-11"/>
        <w:jc w:val="both"/>
      </w:pPr>
    </w:p>
    <w:p w14:paraId="6E606E38" w14:textId="0EC4FC95" w:rsidR="00556DDB" w:rsidRDefault="00C51ED5" w:rsidP="00435C74">
      <w:pPr>
        <w:pStyle w:val="BodyText"/>
        <w:ind w:left="821"/>
        <w:jc w:val="both"/>
      </w:pPr>
      <w:r w:rsidRPr="003E0725">
        <w:t>The Board may delegate functions and budgets to place-based partnerships and to</w:t>
      </w:r>
      <w:r w:rsidR="009F1DB5">
        <w:t xml:space="preserve"> </w:t>
      </w:r>
      <w:r w:rsidRPr="003E0725">
        <w:t xml:space="preserve">sector collaboratives while maintaining overall accountability for the delegation of NHS resources within its area. Arrangements for the reservation and delegation of powers are set out in the ICB's </w:t>
      </w:r>
      <w:r w:rsidR="0088534D">
        <w:t xml:space="preserve">Scheme of </w:t>
      </w:r>
      <w:r w:rsidR="001B1DAE">
        <w:t xml:space="preserve">Financial Delegation (SOFD) &amp; </w:t>
      </w:r>
      <w:r w:rsidRPr="003E0725">
        <w:t>Scheme of Reservation and Delegation (</w:t>
      </w:r>
      <w:proofErr w:type="spellStart"/>
      <w:r w:rsidRPr="003E0725">
        <w:t>SoRD</w:t>
      </w:r>
      <w:proofErr w:type="spellEnd"/>
      <w:r w:rsidRPr="003E0725">
        <w:t>) (</w:t>
      </w:r>
      <w:r w:rsidR="00996C98">
        <w:t>s</w:t>
      </w:r>
      <w:r w:rsidRPr="003E0725">
        <w:t>ee Appendix C).</w:t>
      </w:r>
    </w:p>
    <w:p w14:paraId="324B8B27" w14:textId="77777777" w:rsidR="00745791" w:rsidRDefault="00745791" w:rsidP="00435C74">
      <w:pPr>
        <w:pStyle w:val="BodyText"/>
        <w:ind w:left="821"/>
        <w:jc w:val="both"/>
      </w:pPr>
    </w:p>
    <w:p w14:paraId="3CAA39C5" w14:textId="125EABB0" w:rsidR="00DE584E" w:rsidRDefault="006538D4" w:rsidP="006538D4">
      <w:pPr>
        <w:pStyle w:val="Heading1"/>
        <w:ind w:left="851" w:hanging="851"/>
      </w:pPr>
      <w:bookmarkStart w:id="5" w:name="_Toc202965709"/>
      <w:r>
        <w:t xml:space="preserve">3.2 </w:t>
      </w:r>
      <w:r>
        <w:tab/>
      </w:r>
      <w:r w:rsidR="00DE584E" w:rsidRPr="00DE584E">
        <w:t>Integrated Care Partnership</w:t>
      </w:r>
      <w:bookmarkEnd w:id="5"/>
      <w:r w:rsidR="00DE584E" w:rsidRPr="00DE584E">
        <w:t xml:space="preserve"> </w:t>
      </w:r>
    </w:p>
    <w:p w14:paraId="6715AAC9" w14:textId="3C3B5EB0" w:rsidR="00745791" w:rsidRPr="00120A1D" w:rsidRDefault="003C55DC" w:rsidP="00191E52">
      <w:pPr>
        <w:pStyle w:val="NormalWeb"/>
        <w:ind w:left="821"/>
        <w:contextualSpacing/>
        <w:jc w:val="both"/>
        <w:rPr>
          <w:rFonts w:ascii="Arial" w:eastAsia="Arial" w:hAnsi="Arial" w:cs="Arial"/>
          <w:lang w:bidi="en-GB"/>
        </w:rPr>
      </w:pPr>
      <w:r w:rsidRPr="00120A1D">
        <w:rPr>
          <w:rFonts w:ascii="Arial" w:eastAsia="Arial" w:hAnsi="Arial" w:cs="Arial"/>
          <w:lang w:bidi="en-GB"/>
        </w:rPr>
        <w:t>Under the Health and Care Act 2022, every ICS is required to establish an Integrated Care Partnership (ICP) as a statutory committee.  T</w:t>
      </w:r>
      <w:r w:rsidR="00745791" w:rsidRPr="00120A1D">
        <w:rPr>
          <w:rFonts w:ascii="Arial" w:eastAsia="Arial" w:hAnsi="Arial" w:cs="Arial"/>
          <w:lang w:bidi="en-GB"/>
        </w:rPr>
        <w:t>he Integrated Care Partnership is a statutory committee jointly convened by six Local Authorities and the NHS Humber &amp; North Yorkshire Integrated Care Board and comprises of a broad alliance of organisations and other representatives as equal partners concerned with improving the health, public health and social care services provided to their population.</w:t>
      </w:r>
    </w:p>
    <w:p w14:paraId="5B89321A" w14:textId="4484086E" w:rsidR="00DE584E" w:rsidRDefault="000A34A8" w:rsidP="00191E52">
      <w:pPr>
        <w:pStyle w:val="BodyText"/>
        <w:ind w:left="821"/>
        <w:jc w:val="both"/>
      </w:pPr>
      <w:r w:rsidRPr="000A34A8">
        <w:t>The ICP’s core statutory duty is to develop and publish an Integrated Care Strategy for the ICS area. This strategy must be informed by Joint Strategic Needs Assessments (JSNAs) and Health and Wellbeing Board priorities, and it should guide how the ICB and local authorities plan and deliver services to improve population health and reduce inequalitie</w:t>
      </w:r>
      <w:r w:rsidR="00A92557">
        <w:t>s</w:t>
      </w:r>
    </w:p>
    <w:p w14:paraId="4D876335" w14:textId="77777777" w:rsidR="00353E4C" w:rsidRDefault="00353E4C" w:rsidP="000A34A8">
      <w:pPr>
        <w:pStyle w:val="BodyText"/>
        <w:ind w:left="720"/>
        <w:jc w:val="both"/>
      </w:pPr>
    </w:p>
    <w:p w14:paraId="3D4346B4" w14:textId="7947B69A" w:rsidR="00353E4C" w:rsidRDefault="00353E4C" w:rsidP="00191E52">
      <w:pPr>
        <w:pStyle w:val="BodyText"/>
        <w:ind w:left="821"/>
        <w:jc w:val="both"/>
      </w:pPr>
      <w:r>
        <w:t xml:space="preserve">The ICP Terms of Reference </w:t>
      </w:r>
      <w:r w:rsidR="00813376" w:rsidRPr="00813376">
        <w:t xml:space="preserve">outlines how this requirement has been </w:t>
      </w:r>
      <w:r w:rsidR="00D52A45">
        <w:t>implemented.</w:t>
      </w:r>
      <w:r w:rsidR="001F4608" w:rsidRPr="001F4608">
        <w:t xml:space="preserve"> Humber and North Yorkshire Integrated Care Partnership published our refreshed </w:t>
      </w:r>
      <w:hyperlink r:id="rId13">
        <w:r w:rsidR="00837B32" w:rsidRPr="00660CA9">
          <w:rPr>
            <w:rStyle w:val="Hyperlink"/>
          </w:rPr>
          <w:t>Integrated Strategy for Wellbeing, Health and Care</w:t>
        </w:r>
      </w:hyperlink>
      <w:r w:rsidR="00837B32">
        <w:t xml:space="preserve"> </w:t>
      </w:r>
      <w:r w:rsidR="001F4608" w:rsidRPr="001F4608">
        <w:t xml:space="preserve">  which builds on existing strengths, such as the person-centred and strengths-based approach, while identifying areas for targeted investment.</w:t>
      </w:r>
    </w:p>
    <w:p w14:paraId="52939603" w14:textId="77777777" w:rsidR="009F1DB5" w:rsidRPr="003E0725" w:rsidRDefault="009F1DB5" w:rsidP="009F1DB5">
      <w:pPr>
        <w:pStyle w:val="BodyText"/>
        <w:ind w:left="821" w:right="521"/>
        <w:jc w:val="both"/>
      </w:pPr>
    </w:p>
    <w:p w14:paraId="09D413D2" w14:textId="390B0C00" w:rsidR="00556DDB" w:rsidRPr="003E0725" w:rsidRDefault="00C51ED5" w:rsidP="006538D4">
      <w:pPr>
        <w:pStyle w:val="Heading1"/>
        <w:numPr>
          <w:ilvl w:val="1"/>
          <w:numId w:val="21"/>
        </w:numPr>
        <w:tabs>
          <w:tab w:val="left" w:pos="821"/>
          <w:tab w:val="left" w:pos="822"/>
        </w:tabs>
        <w:ind w:left="851" w:hanging="851"/>
      </w:pPr>
      <w:bookmarkStart w:id="6" w:name="_Toc202965710"/>
      <w:r w:rsidRPr="003E0725">
        <w:t>Our Governance</w:t>
      </w:r>
      <w:r w:rsidRPr="003E0725">
        <w:rPr>
          <w:spacing w:val="-1"/>
        </w:rPr>
        <w:t xml:space="preserve"> </w:t>
      </w:r>
      <w:r w:rsidRPr="003E0725">
        <w:t>Structure</w:t>
      </w:r>
      <w:bookmarkEnd w:id="6"/>
    </w:p>
    <w:p w14:paraId="28090A99" w14:textId="77777777" w:rsidR="00556DDB" w:rsidRPr="003E0725" w:rsidRDefault="00556DDB" w:rsidP="009F1DB5">
      <w:pPr>
        <w:pStyle w:val="BodyText"/>
        <w:rPr>
          <w:b/>
        </w:rPr>
      </w:pPr>
    </w:p>
    <w:p w14:paraId="7DE868F8" w14:textId="35D0ED77" w:rsidR="00556DDB" w:rsidRPr="003E0725" w:rsidRDefault="00C51ED5" w:rsidP="00435C74">
      <w:pPr>
        <w:pStyle w:val="BodyText"/>
        <w:ind w:left="821" w:right="-11"/>
        <w:jc w:val="both"/>
      </w:pPr>
      <w:r w:rsidRPr="003E0725">
        <w:t xml:space="preserve">Our Governance Structure sets out accountability of </w:t>
      </w:r>
      <w:r w:rsidR="00996C98">
        <w:t>C</w:t>
      </w:r>
      <w:r w:rsidRPr="003E0725">
        <w:t>ommittees and forums to the Board.</w:t>
      </w:r>
    </w:p>
    <w:p w14:paraId="054B205B" w14:textId="77777777" w:rsidR="00141639" w:rsidRPr="003E0725" w:rsidRDefault="00141639" w:rsidP="00435C74">
      <w:pPr>
        <w:pStyle w:val="BodyText"/>
        <w:ind w:left="821" w:right="1011"/>
        <w:jc w:val="both"/>
      </w:pPr>
    </w:p>
    <w:p w14:paraId="5AAD8602" w14:textId="6167F342" w:rsidR="008F22E5" w:rsidRDefault="00141639" w:rsidP="00435C74">
      <w:pPr>
        <w:pStyle w:val="BodyText"/>
        <w:ind w:left="821" w:right="-11"/>
        <w:jc w:val="both"/>
      </w:pPr>
      <w:r w:rsidRPr="003E0725">
        <w:t xml:space="preserve">The Board has established the following </w:t>
      </w:r>
      <w:r w:rsidR="00996C98">
        <w:t>C</w:t>
      </w:r>
      <w:r w:rsidRPr="003E0725">
        <w:t>ommittees to assist</w:t>
      </w:r>
      <w:r w:rsidRPr="003E0725">
        <w:rPr>
          <w:spacing w:val="-42"/>
        </w:rPr>
        <w:t xml:space="preserve"> </w:t>
      </w:r>
      <w:r w:rsidRPr="003E0725">
        <w:rPr>
          <w:spacing w:val="-3"/>
        </w:rPr>
        <w:t xml:space="preserve">it </w:t>
      </w:r>
      <w:r w:rsidRPr="003E0725">
        <w:t>in the</w:t>
      </w:r>
      <w:r w:rsidR="009F1DB5">
        <w:t xml:space="preserve"> </w:t>
      </w:r>
      <w:r w:rsidRPr="003E0725">
        <w:t xml:space="preserve">discharge of its functions. The responsibilities </w:t>
      </w:r>
      <w:r w:rsidR="000922B9" w:rsidRPr="000922B9">
        <w:t xml:space="preserve">Including remit, </w:t>
      </w:r>
      <w:r w:rsidR="001559D0">
        <w:t>a</w:t>
      </w:r>
      <w:r w:rsidR="000922B9" w:rsidRPr="000922B9">
        <w:t>nd membership</w:t>
      </w:r>
      <w:r w:rsidR="001559D0">
        <w:t xml:space="preserve"> </w:t>
      </w:r>
      <w:r w:rsidRPr="003E0725">
        <w:t xml:space="preserve">of each of the Committees are set out in </w:t>
      </w:r>
      <w:r w:rsidR="00DF1299" w:rsidRPr="003E0725">
        <w:t>their individual Terms of Reference</w:t>
      </w:r>
      <w:r w:rsidR="00EB2D01">
        <w:t xml:space="preserve">.  </w:t>
      </w:r>
      <w:r w:rsidR="007F6451">
        <w:t xml:space="preserve">Please see below for details of the committees and full Terms of Reference are published on our website </w:t>
      </w:r>
      <w:hyperlink r:id="rId14" w:history="1">
        <w:r w:rsidR="00BC75F8" w:rsidRPr="00836B96">
          <w:rPr>
            <w:rStyle w:val="Hyperlink"/>
          </w:rPr>
          <w:t>https://humberandnorthyorkshire.icb.nhs.uk/governance/</w:t>
        </w:r>
      </w:hyperlink>
    </w:p>
    <w:p w14:paraId="0E82005A" w14:textId="77777777" w:rsidR="00BC75F8" w:rsidRDefault="00BC75F8" w:rsidP="00435C74">
      <w:pPr>
        <w:pStyle w:val="BodyText"/>
        <w:ind w:left="821" w:right="-11"/>
        <w:jc w:val="both"/>
      </w:pPr>
    </w:p>
    <w:p w14:paraId="232F415E" w14:textId="42A7FD3D" w:rsidR="000804D1" w:rsidRPr="00F46CFE" w:rsidRDefault="000804D1" w:rsidP="00435C74">
      <w:pPr>
        <w:pStyle w:val="BodyText"/>
        <w:ind w:left="821" w:right="-11"/>
        <w:jc w:val="both"/>
        <w:rPr>
          <w:b/>
          <w:bCs/>
        </w:rPr>
      </w:pPr>
      <w:r w:rsidRPr="00F46CFE">
        <w:rPr>
          <w:b/>
          <w:bCs/>
        </w:rPr>
        <w:t>ICB Committees of the Board</w:t>
      </w:r>
    </w:p>
    <w:p w14:paraId="29C53B58" w14:textId="77777777" w:rsidR="008F22E5" w:rsidRDefault="008F22E5" w:rsidP="00435C74">
      <w:pPr>
        <w:pStyle w:val="BodyText"/>
        <w:ind w:left="821" w:right="-11"/>
        <w:jc w:val="both"/>
      </w:pPr>
    </w:p>
    <w:p w14:paraId="4FF66728" w14:textId="77777777" w:rsidR="008F22E5" w:rsidRDefault="00C51ED5" w:rsidP="00435C74">
      <w:pPr>
        <w:pStyle w:val="BodyText"/>
        <w:numPr>
          <w:ilvl w:val="0"/>
          <w:numId w:val="10"/>
        </w:numPr>
        <w:ind w:right="-11"/>
        <w:jc w:val="both"/>
      </w:pPr>
      <w:r w:rsidRPr="008F22E5">
        <w:t>Audit</w:t>
      </w:r>
      <w:r w:rsidRPr="008F22E5">
        <w:rPr>
          <w:spacing w:val="-1"/>
        </w:rPr>
        <w:t xml:space="preserve"> </w:t>
      </w:r>
      <w:r w:rsidRPr="008F22E5">
        <w:t>Committee</w:t>
      </w:r>
    </w:p>
    <w:p w14:paraId="2D82D434" w14:textId="77777777" w:rsidR="008F22E5" w:rsidRDefault="00C51ED5" w:rsidP="00435C74">
      <w:pPr>
        <w:pStyle w:val="BodyText"/>
        <w:numPr>
          <w:ilvl w:val="0"/>
          <w:numId w:val="10"/>
        </w:numPr>
        <w:ind w:right="-11"/>
        <w:jc w:val="both"/>
      </w:pPr>
      <w:r w:rsidRPr="008F22E5">
        <w:t>Remuneration</w:t>
      </w:r>
      <w:r w:rsidRPr="008F22E5">
        <w:rPr>
          <w:spacing w:val="-1"/>
        </w:rPr>
        <w:t xml:space="preserve"> </w:t>
      </w:r>
      <w:r w:rsidRPr="008F22E5">
        <w:t>Committee</w:t>
      </w:r>
    </w:p>
    <w:p w14:paraId="4D7961CA" w14:textId="77777777" w:rsidR="008F22E5" w:rsidRDefault="00C51ED5" w:rsidP="00435C74">
      <w:pPr>
        <w:pStyle w:val="BodyText"/>
        <w:numPr>
          <w:ilvl w:val="0"/>
          <w:numId w:val="10"/>
        </w:numPr>
        <w:ind w:right="-11"/>
        <w:jc w:val="both"/>
      </w:pPr>
      <w:r w:rsidRPr="008F22E5">
        <w:t>Quality</w:t>
      </w:r>
      <w:r w:rsidRPr="008F22E5">
        <w:rPr>
          <w:spacing w:val="-1"/>
        </w:rPr>
        <w:t xml:space="preserve"> </w:t>
      </w:r>
      <w:r w:rsidRPr="008F22E5">
        <w:t>Committee</w:t>
      </w:r>
    </w:p>
    <w:p w14:paraId="7F6A0766" w14:textId="4C5FE065" w:rsidR="005800F6" w:rsidRDefault="005800F6" w:rsidP="00435C74">
      <w:pPr>
        <w:pStyle w:val="BodyText"/>
        <w:numPr>
          <w:ilvl w:val="0"/>
          <w:numId w:val="10"/>
        </w:numPr>
        <w:ind w:right="-11"/>
        <w:jc w:val="both"/>
      </w:pPr>
      <w:r>
        <w:t>Integrated Care Partnership</w:t>
      </w:r>
      <w:r w:rsidR="00C45272">
        <w:t xml:space="preserve"> Committee </w:t>
      </w:r>
    </w:p>
    <w:p w14:paraId="71848BD6" w14:textId="5FFF80C1" w:rsidR="008F22E5" w:rsidRDefault="00C51ED5" w:rsidP="00435C74">
      <w:pPr>
        <w:pStyle w:val="BodyText"/>
        <w:numPr>
          <w:ilvl w:val="0"/>
          <w:numId w:val="10"/>
        </w:numPr>
        <w:ind w:right="-11"/>
        <w:jc w:val="both"/>
      </w:pPr>
      <w:r w:rsidRPr="008F22E5">
        <w:t>Finance, Performance and</w:t>
      </w:r>
      <w:r w:rsidRPr="008F22E5">
        <w:rPr>
          <w:spacing w:val="-5"/>
        </w:rPr>
        <w:t xml:space="preserve"> </w:t>
      </w:r>
      <w:r w:rsidRPr="008F22E5">
        <w:t>Delivery</w:t>
      </w:r>
      <w:r w:rsidR="009D1F7A" w:rsidRPr="008F22E5">
        <w:t xml:space="preserve"> Comm</w:t>
      </w:r>
      <w:r w:rsidR="005C699C" w:rsidRPr="008F22E5">
        <w:t>ittee</w:t>
      </w:r>
    </w:p>
    <w:p w14:paraId="11C5C46D" w14:textId="5377BF2C" w:rsidR="008F22E5" w:rsidRDefault="003F485B" w:rsidP="00435C74">
      <w:pPr>
        <w:pStyle w:val="BodyText"/>
        <w:numPr>
          <w:ilvl w:val="0"/>
          <w:numId w:val="10"/>
        </w:numPr>
        <w:ind w:right="-11"/>
        <w:jc w:val="both"/>
      </w:pPr>
      <w:r w:rsidRPr="008F22E5">
        <w:t>Workforce</w:t>
      </w:r>
      <w:r w:rsidR="00DF1299" w:rsidRPr="008F22E5">
        <w:t xml:space="preserve"> Committee (Workforce</w:t>
      </w:r>
      <w:r w:rsidRPr="008F22E5">
        <w:t xml:space="preserve"> Board</w:t>
      </w:r>
      <w:r w:rsidR="00DF1299" w:rsidRPr="008F22E5">
        <w:t>)</w:t>
      </w:r>
    </w:p>
    <w:p w14:paraId="2803D032" w14:textId="77777777" w:rsidR="00B17777" w:rsidRPr="00B17777" w:rsidRDefault="00B17777" w:rsidP="00B17777">
      <w:pPr>
        <w:pStyle w:val="ListParagraph"/>
        <w:numPr>
          <w:ilvl w:val="0"/>
          <w:numId w:val="10"/>
        </w:numPr>
        <w:rPr>
          <w:sz w:val="24"/>
          <w:szCs w:val="24"/>
        </w:rPr>
      </w:pPr>
      <w:r w:rsidRPr="00B17777">
        <w:rPr>
          <w:sz w:val="24"/>
          <w:szCs w:val="24"/>
        </w:rPr>
        <w:t>Transition Committee</w:t>
      </w:r>
    </w:p>
    <w:p w14:paraId="593A15A9" w14:textId="77777777" w:rsidR="00B17777" w:rsidRDefault="00B17777" w:rsidP="00B17777">
      <w:pPr>
        <w:pStyle w:val="BodyText"/>
        <w:ind w:left="1541" w:right="-11"/>
        <w:jc w:val="both"/>
      </w:pPr>
    </w:p>
    <w:p w14:paraId="32F210AC" w14:textId="77777777" w:rsidR="00736115" w:rsidRDefault="00736115" w:rsidP="00736115">
      <w:pPr>
        <w:pStyle w:val="BodyText"/>
        <w:ind w:left="1541" w:right="-11"/>
      </w:pPr>
    </w:p>
    <w:p w14:paraId="249F7DDF" w14:textId="77777777" w:rsidR="006960B8" w:rsidRDefault="006960B8" w:rsidP="00736115">
      <w:pPr>
        <w:pStyle w:val="BodyText"/>
        <w:ind w:left="1541" w:right="-11"/>
      </w:pPr>
    </w:p>
    <w:p w14:paraId="180FE9FD" w14:textId="77777777" w:rsidR="006960B8" w:rsidRDefault="006960B8" w:rsidP="00736115">
      <w:pPr>
        <w:pStyle w:val="BodyText"/>
        <w:ind w:left="1541" w:right="-11"/>
      </w:pPr>
    </w:p>
    <w:p w14:paraId="5F2793A5" w14:textId="7180D585" w:rsidR="007871E3" w:rsidRDefault="007871E3" w:rsidP="00736115">
      <w:pPr>
        <w:pStyle w:val="BodyText"/>
        <w:ind w:left="720" w:right="-11"/>
        <w:rPr>
          <w:b/>
          <w:bCs/>
        </w:rPr>
      </w:pPr>
      <w:r w:rsidRPr="007871E3">
        <w:rPr>
          <w:b/>
          <w:bCs/>
        </w:rPr>
        <w:t xml:space="preserve">Committees </w:t>
      </w:r>
      <w:r>
        <w:rPr>
          <w:b/>
          <w:bCs/>
        </w:rPr>
        <w:t>r</w:t>
      </w:r>
      <w:r w:rsidRPr="007871E3">
        <w:rPr>
          <w:b/>
          <w:bCs/>
        </w:rPr>
        <w:t>equired by National Guidance or Delegation Agreements</w:t>
      </w:r>
    </w:p>
    <w:p w14:paraId="5417C468" w14:textId="77777777" w:rsidR="00010BF9" w:rsidRDefault="00010BF9" w:rsidP="00010BF9">
      <w:pPr>
        <w:pStyle w:val="BodyText"/>
        <w:numPr>
          <w:ilvl w:val="0"/>
          <w:numId w:val="10"/>
        </w:numPr>
        <w:ind w:right="-11"/>
        <w:jc w:val="both"/>
      </w:pPr>
      <w:r>
        <w:t>Specialised Commissioning Joint Committee</w:t>
      </w:r>
    </w:p>
    <w:p w14:paraId="0B62A6C5" w14:textId="58808BF0" w:rsidR="008F22E5" w:rsidRDefault="0055048B" w:rsidP="00435C74">
      <w:pPr>
        <w:pStyle w:val="BodyText"/>
        <w:numPr>
          <w:ilvl w:val="0"/>
          <w:numId w:val="10"/>
        </w:numPr>
        <w:ind w:right="-11"/>
        <w:jc w:val="both"/>
      </w:pPr>
      <w:r w:rsidRPr="008F22E5">
        <w:t>Pharmaceutical Services Regulations Committee (Committees in Common)</w:t>
      </w:r>
    </w:p>
    <w:p w14:paraId="09EBE5DC" w14:textId="7842787A" w:rsidR="00DF1299" w:rsidRDefault="00857D72" w:rsidP="00435C74">
      <w:pPr>
        <w:pStyle w:val="BodyText"/>
        <w:numPr>
          <w:ilvl w:val="0"/>
          <w:numId w:val="10"/>
        </w:numPr>
        <w:ind w:right="-11"/>
        <w:jc w:val="both"/>
      </w:pPr>
      <w:r w:rsidRPr="008F22E5">
        <w:t xml:space="preserve">North East Lincolnshire </w:t>
      </w:r>
      <w:r w:rsidR="00E73A9C">
        <w:t>Joint Committee</w:t>
      </w:r>
    </w:p>
    <w:p w14:paraId="4C0BEEAB" w14:textId="77777777" w:rsidR="00FA1A92" w:rsidRDefault="007500C5" w:rsidP="00FA1A92">
      <w:pPr>
        <w:pStyle w:val="BodyText"/>
        <w:numPr>
          <w:ilvl w:val="0"/>
          <w:numId w:val="10"/>
        </w:numPr>
        <w:ind w:right="-11"/>
        <w:jc w:val="both"/>
      </w:pPr>
      <w:r>
        <w:t>North Lincolnshire Joint Committee</w:t>
      </w:r>
    </w:p>
    <w:p w14:paraId="640149ED" w14:textId="1F631498" w:rsidR="00FA1A92" w:rsidRDefault="00FA1A92" w:rsidP="00FA1A92">
      <w:pPr>
        <w:pStyle w:val="BodyText"/>
        <w:numPr>
          <w:ilvl w:val="0"/>
          <w:numId w:val="10"/>
        </w:numPr>
        <w:ind w:right="-11"/>
        <w:jc w:val="both"/>
      </w:pPr>
      <w:r>
        <w:t xml:space="preserve">York </w:t>
      </w:r>
      <w:r w:rsidR="001B1DAE">
        <w:t xml:space="preserve">Health &amp; Care </w:t>
      </w:r>
      <w:r w:rsidR="00577DCF">
        <w:t xml:space="preserve">Partnership Executive </w:t>
      </w:r>
      <w:r>
        <w:t>Committee</w:t>
      </w:r>
    </w:p>
    <w:p w14:paraId="5D3968B3" w14:textId="5B637EEC" w:rsidR="007500C5" w:rsidRDefault="00FA1A92" w:rsidP="00FA1A92">
      <w:pPr>
        <w:pStyle w:val="BodyText"/>
        <w:numPr>
          <w:ilvl w:val="0"/>
          <w:numId w:val="10"/>
        </w:numPr>
        <w:ind w:right="-11"/>
        <w:jc w:val="both"/>
      </w:pPr>
      <w:r>
        <w:t>North Yorkshire Joint Committee</w:t>
      </w:r>
    </w:p>
    <w:p w14:paraId="2037E1C6" w14:textId="47398A79" w:rsidR="007500C5" w:rsidRDefault="00FA1A92" w:rsidP="00435C74">
      <w:pPr>
        <w:pStyle w:val="BodyText"/>
        <w:numPr>
          <w:ilvl w:val="0"/>
          <w:numId w:val="10"/>
        </w:numPr>
        <w:ind w:right="-11"/>
        <w:jc w:val="both"/>
      </w:pPr>
      <w:r>
        <w:t>Hull Joint Committee</w:t>
      </w:r>
    </w:p>
    <w:p w14:paraId="03C563F2" w14:textId="413DC204" w:rsidR="00FA1A92" w:rsidRDefault="00FA1A92" w:rsidP="00435C74">
      <w:pPr>
        <w:pStyle w:val="BodyText"/>
        <w:numPr>
          <w:ilvl w:val="0"/>
          <w:numId w:val="10"/>
        </w:numPr>
        <w:ind w:right="-11"/>
        <w:jc w:val="both"/>
      </w:pPr>
      <w:r>
        <w:t>East Riding Joint Committee</w:t>
      </w:r>
    </w:p>
    <w:p w14:paraId="576B02C0" w14:textId="77777777" w:rsidR="001C1618" w:rsidRDefault="001C1618" w:rsidP="001C1618">
      <w:pPr>
        <w:pStyle w:val="BodyText"/>
        <w:ind w:right="-11"/>
        <w:jc w:val="both"/>
      </w:pPr>
    </w:p>
    <w:p w14:paraId="4B65C47B" w14:textId="63C6C7FF" w:rsidR="001C1618" w:rsidRDefault="00012731" w:rsidP="00C3407A">
      <w:pPr>
        <w:pStyle w:val="BodyText"/>
        <w:ind w:left="709" w:right="-11"/>
        <w:jc w:val="both"/>
      </w:pPr>
      <w:r>
        <w:t>Other b</w:t>
      </w:r>
      <w:r w:rsidR="00561DD0">
        <w:t xml:space="preserve">oard groups have been </w:t>
      </w:r>
      <w:r w:rsidR="00561DD0" w:rsidRPr="00561DD0">
        <w:t>established to provide stakeholder</w:t>
      </w:r>
      <w:r w:rsidR="00561DD0">
        <w:t xml:space="preserve"> i</w:t>
      </w:r>
      <w:r w:rsidR="00561DD0" w:rsidRPr="00561DD0">
        <w:t>nformed advice to the board and its committees, helping shape strategy and policy (SRO led)</w:t>
      </w:r>
    </w:p>
    <w:p w14:paraId="71A4D226" w14:textId="77777777" w:rsidR="00F46CFE" w:rsidRDefault="00F46CFE" w:rsidP="00385C49">
      <w:pPr>
        <w:pStyle w:val="BodyText"/>
        <w:ind w:left="720" w:right="-11"/>
        <w:jc w:val="both"/>
        <w:rPr>
          <w:b/>
          <w:bCs/>
        </w:rPr>
      </w:pPr>
    </w:p>
    <w:p w14:paraId="1061CD83" w14:textId="4A40FA6C" w:rsidR="00556DDB" w:rsidRDefault="00C51ED5" w:rsidP="00C3407A">
      <w:pPr>
        <w:pStyle w:val="BodyText"/>
        <w:ind w:left="821" w:hanging="112"/>
      </w:pPr>
      <w:r w:rsidRPr="003E0725">
        <w:t xml:space="preserve">Our Governance Structure Summary can be found at </w:t>
      </w:r>
      <w:hyperlink w:anchor="APPENDIXA" w:history="1">
        <w:r w:rsidRPr="002E10C2">
          <w:rPr>
            <w:rStyle w:val="Hyperlink"/>
          </w:rPr>
          <w:t>Appendix A.</w:t>
        </w:r>
      </w:hyperlink>
    </w:p>
    <w:p w14:paraId="1339811C" w14:textId="77777777" w:rsidR="009F1DB5" w:rsidRPr="003E0725" w:rsidRDefault="009F1DB5" w:rsidP="009F1DB5">
      <w:pPr>
        <w:pStyle w:val="BodyText"/>
        <w:ind w:left="821"/>
      </w:pPr>
    </w:p>
    <w:p w14:paraId="6D4DF072" w14:textId="4999A6B3" w:rsidR="00BF00B5" w:rsidRDefault="00BF00B5" w:rsidP="00CC59B6">
      <w:pPr>
        <w:pStyle w:val="BodyText"/>
        <w:ind w:left="709"/>
        <w:rPr>
          <w:b/>
          <w:bCs/>
        </w:rPr>
      </w:pPr>
      <w:r w:rsidRPr="003E0725">
        <w:rPr>
          <w:b/>
          <w:bCs/>
        </w:rPr>
        <w:t>Place</w:t>
      </w:r>
      <w:r w:rsidR="008A31DD">
        <w:rPr>
          <w:b/>
          <w:bCs/>
        </w:rPr>
        <w:t xml:space="preserve"> Based Arrangements </w:t>
      </w:r>
    </w:p>
    <w:p w14:paraId="330B0837" w14:textId="77777777" w:rsidR="008F22E5" w:rsidRPr="003E0725" w:rsidRDefault="008F22E5" w:rsidP="009F1DB5">
      <w:pPr>
        <w:pStyle w:val="BodyText"/>
        <w:ind w:left="821"/>
        <w:rPr>
          <w:b/>
          <w:bCs/>
        </w:rPr>
      </w:pPr>
    </w:p>
    <w:p w14:paraId="0FA4AF2B" w14:textId="601C5A5D" w:rsidR="003A729A" w:rsidRDefault="00A80F3D" w:rsidP="00CC59B6">
      <w:pPr>
        <w:pStyle w:val="BodyText"/>
        <w:ind w:left="709"/>
        <w:jc w:val="both"/>
      </w:pPr>
      <w:r w:rsidRPr="00660CA9">
        <w:rPr>
          <w:rFonts w:eastAsia="Times New Roman"/>
        </w:rPr>
        <w:t xml:space="preserve">Place-based arrangements are central to the Humber and North Yorkshire operating framework, which identifies delegation to our six Places as key to the sustainability of health and care systems (Hull, East Riding of Yorkshire, North Lincolnshire, North East Lincolnshire, City of York, North Yorkshire). These arrangements enable the development and delivery of services with local system partners, focusing on the needs of local populations. </w:t>
      </w:r>
      <w:r w:rsidR="00BF52AB" w:rsidRPr="00BF52AB">
        <w:rPr>
          <w:rFonts w:eastAsia="Times New Roman"/>
        </w:rPr>
        <w:t>The ICB created legal and governance mechanisms to form Joint Committees and section 75 agreements across all six Places. This will support the upcoming 10-year Health plan, focusing on system transformation and integration</w:t>
      </w:r>
      <w:r w:rsidR="00BF52AB">
        <w:rPr>
          <w:rFonts w:eastAsia="Times New Roman"/>
        </w:rPr>
        <w:t>.</w:t>
      </w:r>
    </w:p>
    <w:p w14:paraId="3614D37D" w14:textId="77777777" w:rsidR="003A729A" w:rsidRDefault="003A729A" w:rsidP="00435C74">
      <w:pPr>
        <w:pStyle w:val="BodyText"/>
        <w:ind w:left="821"/>
        <w:jc w:val="both"/>
      </w:pPr>
    </w:p>
    <w:p w14:paraId="45F9BA93" w14:textId="136C1EEC" w:rsidR="00556DDB" w:rsidRPr="003E0725" w:rsidRDefault="00C51ED5" w:rsidP="00CC59B6">
      <w:pPr>
        <w:ind w:left="720" w:hanging="11"/>
        <w:rPr>
          <w:b/>
          <w:bCs/>
          <w:sz w:val="24"/>
          <w:szCs w:val="24"/>
        </w:rPr>
      </w:pPr>
      <w:r w:rsidRPr="003E0725">
        <w:rPr>
          <w:b/>
          <w:bCs/>
          <w:sz w:val="24"/>
          <w:szCs w:val="24"/>
        </w:rPr>
        <w:t>Sector Collaboratives</w:t>
      </w:r>
    </w:p>
    <w:p w14:paraId="187762E9" w14:textId="77777777" w:rsidR="00556DDB" w:rsidRPr="003E0725" w:rsidRDefault="00556DDB" w:rsidP="009F1DB5">
      <w:pPr>
        <w:pStyle w:val="BodyText"/>
        <w:rPr>
          <w:b/>
        </w:rPr>
      </w:pPr>
    </w:p>
    <w:p w14:paraId="22D24931" w14:textId="7C05EE5E" w:rsidR="00E60B22" w:rsidRDefault="00C51ED5" w:rsidP="00CC59B6">
      <w:pPr>
        <w:pStyle w:val="BodyText"/>
        <w:ind w:left="709" w:right="-11"/>
        <w:jc w:val="both"/>
      </w:pPr>
      <w:r w:rsidRPr="003E0725">
        <w:t>Sector collaboratives are arrangements where providers come together to work across the ICS, with a shared purpose,</w:t>
      </w:r>
      <w:r w:rsidR="000E5983" w:rsidRPr="000E5983">
        <w:t xml:space="preserve"> best practices, reduce unwarranted variation, and improve overall care </w:t>
      </w:r>
      <w:r w:rsidR="00E60B22" w:rsidRPr="00E60B22">
        <w:t xml:space="preserve">to deliver specific objectives aligned with the system's strategic priorities </w:t>
      </w:r>
      <w:r w:rsidR="000E5983" w:rsidRPr="000E5983">
        <w:t>(</w:t>
      </w:r>
      <w:r w:rsidR="0081632A" w:rsidRPr="0081632A">
        <w:t>Each provider within these collaboratives works together to achieve agreed-upon goals, contributing to the overall health and wellbeing of the population.</w:t>
      </w:r>
    </w:p>
    <w:p w14:paraId="721AE886" w14:textId="77777777" w:rsidR="0081632A" w:rsidRDefault="0081632A" w:rsidP="00435C74">
      <w:pPr>
        <w:pStyle w:val="BodyText"/>
        <w:ind w:left="821" w:right="-11"/>
        <w:jc w:val="both"/>
      </w:pPr>
    </w:p>
    <w:p w14:paraId="010AFE26" w14:textId="6C4CC2D4" w:rsidR="008F22E5" w:rsidRDefault="00C51ED5" w:rsidP="00CC59B6">
      <w:pPr>
        <w:pStyle w:val="BodyText"/>
        <w:ind w:left="709" w:right="-11"/>
        <w:jc w:val="both"/>
      </w:pPr>
      <w:r w:rsidRPr="003E0725">
        <w:t xml:space="preserve">There are </w:t>
      </w:r>
      <w:r w:rsidR="00237206">
        <w:t>four</w:t>
      </w:r>
      <w:r w:rsidR="00237206" w:rsidRPr="003E0725">
        <w:t xml:space="preserve"> </w:t>
      </w:r>
      <w:r w:rsidRPr="003E0725">
        <w:t>sector collaboratives:</w:t>
      </w:r>
      <w:r w:rsidR="00237206" w:rsidRPr="00237206">
        <w:rPr>
          <w:rFonts w:asciiTheme="minorHAnsi" w:eastAsiaTheme="minorEastAsia" w:hAnsi="Calibri" w:cstheme="minorBidi"/>
          <w:color w:val="FFFFFF" w:themeColor="background1"/>
          <w:kern w:val="24"/>
        </w:rPr>
        <w:t xml:space="preserve"> </w:t>
      </w:r>
    </w:p>
    <w:p w14:paraId="318A18E6" w14:textId="77777777" w:rsidR="008F22E5" w:rsidRDefault="008F22E5" w:rsidP="00435C74">
      <w:pPr>
        <w:pStyle w:val="BodyText"/>
        <w:ind w:left="821" w:right="-11"/>
        <w:jc w:val="both"/>
      </w:pPr>
    </w:p>
    <w:p w14:paraId="50215866" w14:textId="77777777" w:rsidR="00226E00" w:rsidRPr="00226E00" w:rsidRDefault="00226E00" w:rsidP="00226E00">
      <w:pPr>
        <w:pStyle w:val="BodyText"/>
        <w:numPr>
          <w:ilvl w:val="0"/>
          <w:numId w:val="12"/>
        </w:numPr>
        <w:ind w:right="522"/>
        <w:jc w:val="both"/>
      </w:pPr>
      <w:r w:rsidRPr="00226E00">
        <w:t>Neighbourhood Health Provider Collaborative</w:t>
      </w:r>
    </w:p>
    <w:p w14:paraId="2A49113B" w14:textId="77777777" w:rsidR="00226E00" w:rsidRPr="00226E00" w:rsidRDefault="00226E00" w:rsidP="00226E00">
      <w:pPr>
        <w:pStyle w:val="BodyText"/>
        <w:numPr>
          <w:ilvl w:val="0"/>
          <w:numId w:val="12"/>
        </w:numPr>
        <w:ind w:right="522"/>
        <w:jc w:val="both"/>
      </w:pPr>
      <w:r w:rsidRPr="00226E00">
        <w:t>Collaborative of Acute Providers</w:t>
      </w:r>
    </w:p>
    <w:p w14:paraId="5026C58C" w14:textId="77777777" w:rsidR="00226E00" w:rsidRPr="00226E00" w:rsidRDefault="00226E00" w:rsidP="00226E00">
      <w:pPr>
        <w:pStyle w:val="BodyText"/>
        <w:numPr>
          <w:ilvl w:val="0"/>
          <w:numId w:val="12"/>
        </w:numPr>
        <w:ind w:right="522"/>
        <w:jc w:val="both"/>
      </w:pPr>
      <w:r w:rsidRPr="00226E00">
        <w:t xml:space="preserve">Primary Care Collaborative </w:t>
      </w:r>
    </w:p>
    <w:p w14:paraId="7A755FC7" w14:textId="77777777" w:rsidR="00226E00" w:rsidRPr="00226E00" w:rsidRDefault="00226E00" w:rsidP="00226E00">
      <w:pPr>
        <w:pStyle w:val="BodyText"/>
        <w:numPr>
          <w:ilvl w:val="0"/>
          <w:numId w:val="12"/>
        </w:numPr>
        <w:ind w:right="522"/>
        <w:jc w:val="both"/>
      </w:pPr>
      <w:r w:rsidRPr="00226E00">
        <w:t xml:space="preserve">Mental Health, Learning Disabilities and Autism Collaborative </w:t>
      </w:r>
    </w:p>
    <w:p w14:paraId="1F880FAF" w14:textId="77777777" w:rsidR="008F22E5" w:rsidRPr="008F22E5" w:rsidRDefault="008F22E5" w:rsidP="008F22E5">
      <w:pPr>
        <w:pStyle w:val="BodyText"/>
        <w:ind w:left="821" w:right="522"/>
        <w:jc w:val="both"/>
      </w:pPr>
    </w:p>
    <w:p w14:paraId="6DD8DE7D" w14:textId="77777777" w:rsidR="00556DDB" w:rsidRPr="003E0725" w:rsidRDefault="00C51ED5" w:rsidP="0063027E">
      <w:pPr>
        <w:pStyle w:val="Heading1"/>
        <w:numPr>
          <w:ilvl w:val="1"/>
          <w:numId w:val="21"/>
        </w:numPr>
        <w:tabs>
          <w:tab w:val="left" w:pos="821"/>
          <w:tab w:val="left" w:pos="822"/>
        </w:tabs>
        <w:ind w:hanging="722"/>
      </w:pPr>
      <w:bookmarkStart w:id="7" w:name="_Toc202965711"/>
      <w:r w:rsidRPr="003E0725">
        <w:t>Functions and Decisions Map</w:t>
      </w:r>
      <w:bookmarkEnd w:id="7"/>
    </w:p>
    <w:p w14:paraId="33DC4A50" w14:textId="77777777" w:rsidR="00556DDB" w:rsidRPr="003E0725" w:rsidRDefault="00556DDB" w:rsidP="009F1DB5">
      <w:pPr>
        <w:pStyle w:val="BodyText"/>
        <w:rPr>
          <w:b/>
        </w:rPr>
      </w:pPr>
    </w:p>
    <w:p w14:paraId="50BE10FE" w14:textId="77777777" w:rsidR="003B6C14" w:rsidRDefault="00C51ED5" w:rsidP="003B6C14">
      <w:pPr>
        <w:pStyle w:val="BodyText"/>
        <w:ind w:left="821" w:right="-11"/>
        <w:jc w:val="both"/>
      </w:pPr>
      <w:r w:rsidRPr="003E0725">
        <w:t xml:space="preserve">The Functions and Decisions Map sets out, in summary form, a guide to the decision-making and accountability arrangements within the ICB and between the ICB and its wider partners within the Integrated Care System. </w:t>
      </w:r>
      <w:r w:rsidR="003B6C14">
        <w:t xml:space="preserve">The ICB Functions and Decisions Map can be viewed via the following link: </w:t>
      </w:r>
    </w:p>
    <w:p w14:paraId="251B9DEE" w14:textId="5D0FDD46" w:rsidR="00556DDB" w:rsidRDefault="003B6C14" w:rsidP="003B6C14">
      <w:pPr>
        <w:pStyle w:val="BodyText"/>
        <w:ind w:left="821" w:right="-11"/>
        <w:jc w:val="both"/>
      </w:pPr>
      <w:hyperlink r:id="rId15" w:history="1">
        <w:r w:rsidRPr="00836B96">
          <w:rPr>
            <w:rStyle w:val="Hyperlink"/>
          </w:rPr>
          <w:t>https://humberandnorthyorkshire.icb.nhs.uk/governance-publications/</w:t>
        </w:r>
      </w:hyperlink>
    </w:p>
    <w:p w14:paraId="4DD1EEDE" w14:textId="77777777" w:rsidR="003B6C14" w:rsidRDefault="003B6C14" w:rsidP="003B6C14">
      <w:pPr>
        <w:pStyle w:val="BodyText"/>
        <w:ind w:left="821" w:right="-11"/>
        <w:jc w:val="both"/>
      </w:pPr>
    </w:p>
    <w:p w14:paraId="48834F36" w14:textId="77777777" w:rsidR="00DA1CD2" w:rsidRDefault="00DA1CD2" w:rsidP="00435C74">
      <w:pPr>
        <w:pStyle w:val="BodyText"/>
        <w:ind w:left="821" w:right="-11"/>
        <w:jc w:val="both"/>
      </w:pPr>
    </w:p>
    <w:p w14:paraId="01B42290" w14:textId="77777777" w:rsidR="00DA1CD2" w:rsidRDefault="00DA1CD2" w:rsidP="00435C74">
      <w:pPr>
        <w:pStyle w:val="BodyText"/>
        <w:ind w:left="821" w:right="-11"/>
        <w:jc w:val="both"/>
      </w:pPr>
    </w:p>
    <w:p w14:paraId="2F867626" w14:textId="7B66A26F" w:rsidR="00556DDB" w:rsidRPr="003E0725" w:rsidRDefault="002A32BD" w:rsidP="009F1DB5">
      <w:pPr>
        <w:pStyle w:val="Heading1"/>
        <w:numPr>
          <w:ilvl w:val="1"/>
          <w:numId w:val="2"/>
        </w:numPr>
        <w:tabs>
          <w:tab w:val="left" w:pos="809"/>
          <w:tab w:val="left" w:pos="810"/>
        </w:tabs>
        <w:ind w:hanging="710"/>
      </w:pPr>
      <w:bookmarkStart w:id="8" w:name="_Toc202965712"/>
      <w:r w:rsidRPr="003E0725">
        <w:t>KEY DOCUMENTS</w:t>
      </w:r>
      <w:bookmarkEnd w:id="8"/>
      <w:r w:rsidRPr="003E0725">
        <w:t xml:space="preserve"> </w:t>
      </w:r>
    </w:p>
    <w:p w14:paraId="546F5C9B" w14:textId="77777777" w:rsidR="00556DDB" w:rsidRPr="003E0725" w:rsidRDefault="00556DDB" w:rsidP="009F1DB5">
      <w:pPr>
        <w:pStyle w:val="BodyText"/>
        <w:rPr>
          <w:b/>
        </w:rPr>
      </w:pPr>
    </w:p>
    <w:p w14:paraId="4F40871E" w14:textId="00BDFA28" w:rsidR="00556DDB" w:rsidRPr="003E0725" w:rsidRDefault="00C51ED5" w:rsidP="009F1DB5">
      <w:pPr>
        <w:pStyle w:val="Heading1"/>
        <w:numPr>
          <w:ilvl w:val="1"/>
          <w:numId w:val="2"/>
        </w:numPr>
        <w:tabs>
          <w:tab w:val="left" w:pos="821"/>
          <w:tab w:val="left" w:pos="822"/>
        </w:tabs>
        <w:ind w:left="821" w:hanging="722"/>
      </w:pPr>
      <w:bookmarkStart w:id="9" w:name="_Toc202965713"/>
      <w:r w:rsidRPr="003E0725">
        <w:t>Scheme of Reservation and Delegation</w:t>
      </w:r>
      <w:r w:rsidRPr="003E0725">
        <w:rPr>
          <w:spacing w:val="-2"/>
        </w:rPr>
        <w:t xml:space="preserve"> </w:t>
      </w:r>
      <w:r w:rsidRPr="003E0725">
        <w:t>(</w:t>
      </w:r>
      <w:proofErr w:type="spellStart"/>
      <w:r w:rsidRPr="003E0725">
        <w:t>SoRD</w:t>
      </w:r>
      <w:proofErr w:type="spellEnd"/>
      <w:r w:rsidRPr="003E0725">
        <w:t>)</w:t>
      </w:r>
      <w:bookmarkEnd w:id="9"/>
    </w:p>
    <w:p w14:paraId="798C5772" w14:textId="77777777" w:rsidR="00556DDB" w:rsidRPr="003E0725" w:rsidRDefault="00556DDB" w:rsidP="009F1DB5">
      <w:pPr>
        <w:pStyle w:val="BodyText"/>
        <w:rPr>
          <w:b/>
        </w:rPr>
      </w:pPr>
    </w:p>
    <w:p w14:paraId="1803B08B" w14:textId="5EC096A7" w:rsidR="00556DDB" w:rsidRDefault="00C51ED5" w:rsidP="00435C74">
      <w:pPr>
        <w:pStyle w:val="BodyText"/>
        <w:ind w:left="821" w:right="-11"/>
        <w:jc w:val="both"/>
      </w:pPr>
      <w:r w:rsidRPr="003E0725">
        <w:t xml:space="preserve">The 2022 Act (or 2012 Act as amended in 2022) provides the ICB with powers to delegate its functions to certain bodies (such as committees or collaboratives) and certain persons. The ICB has decided that certain decisions may only be exercised in formal session. These decisions </w:t>
      </w:r>
      <w:r w:rsidR="003F485B" w:rsidRPr="003E0725">
        <w:t>and</w:t>
      </w:r>
      <w:r w:rsidRPr="003E0725">
        <w:t xml:space="preserve"> those delegated are contained in the ICB’s</w:t>
      </w:r>
      <w:r w:rsidR="00DA1CD2">
        <w:t xml:space="preserve"> </w:t>
      </w:r>
      <w:r w:rsidRPr="00DA1CD2">
        <w:t>Scheme of Reservation and Delegatio</w:t>
      </w:r>
      <w:r w:rsidRPr="003E0725">
        <w:t>n</w:t>
      </w:r>
      <w:r w:rsidR="00F37E03">
        <w:t>.</w:t>
      </w:r>
    </w:p>
    <w:p w14:paraId="774BDA38" w14:textId="77777777" w:rsidR="008456BC" w:rsidRDefault="008456BC" w:rsidP="00435C74">
      <w:pPr>
        <w:pStyle w:val="BodyText"/>
        <w:ind w:left="821" w:right="-11"/>
        <w:jc w:val="both"/>
      </w:pPr>
    </w:p>
    <w:p w14:paraId="60988F59" w14:textId="21B3518A" w:rsidR="00556DDB" w:rsidRDefault="00C51ED5" w:rsidP="00435C74">
      <w:pPr>
        <w:pStyle w:val="BodyText"/>
        <w:ind w:left="821" w:right="-11"/>
        <w:jc w:val="both"/>
      </w:pPr>
      <w:r w:rsidRPr="003E0725">
        <w:t>The</w:t>
      </w:r>
      <w:r w:rsidRPr="002B2854">
        <w:t xml:space="preserve"> </w:t>
      </w:r>
      <w:r w:rsidRPr="003E0725">
        <w:t>Scheme</w:t>
      </w:r>
      <w:r w:rsidRPr="002B2854">
        <w:t xml:space="preserve"> </w:t>
      </w:r>
      <w:r w:rsidRPr="003E0725">
        <w:t>of</w:t>
      </w:r>
      <w:r w:rsidRPr="002B2854">
        <w:t xml:space="preserve"> </w:t>
      </w:r>
      <w:r w:rsidRPr="003E0725">
        <w:t>Reservation</w:t>
      </w:r>
      <w:r w:rsidRPr="002B2854">
        <w:t xml:space="preserve"> </w:t>
      </w:r>
      <w:r w:rsidRPr="003E0725">
        <w:t>and</w:t>
      </w:r>
      <w:r w:rsidRPr="002B2854">
        <w:t xml:space="preserve"> </w:t>
      </w:r>
      <w:r w:rsidRPr="003E0725">
        <w:t>Delegation</w:t>
      </w:r>
      <w:r w:rsidRPr="002B2854">
        <w:t xml:space="preserve"> </w:t>
      </w:r>
      <w:r w:rsidRPr="003E0725">
        <w:t>has</w:t>
      </w:r>
      <w:r w:rsidRPr="002B2854">
        <w:t xml:space="preserve"> </w:t>
      </w:r>
      <w:r w:rsidRPr="003E0725">
        <w:t>been</w:t>
      </w:r>
      <w:r w:rsidRPr="002B2854">
        <w:t xml:space="preserve"> </w:t>
      </w:r>
      <w:r w:rsidRPr="003E0725">
        <w:t>drawn</w:t>
      </w:r>
      <w:r w:rsidRPr="002B2854">
        <w:t xml:space="preserve"> </w:t>
      </w:r>
      <w:r w:rsidRPr="003E0725">
        <w:t>up</w:t>
      </w:r>
      <w:r w:rsidRPr="002B2854">
        <w:t xml:space="preserve"> </w:t>
      </w:r>
      <w:r w:rsidRPr="003E0725">
        <w:t>to</w:t>
      </w:r>
      <w:r w:rsidRPr="002B2854">
        <w:t xml:space="preserve"> </w:t>
      </w:r>
      <w:r w:rsidRPr="003E0725">
        <w:t>ensure</w:t>
      </w:r>
      <w:r w:rsidRPr="002B2854">
        <w:t xml:space="preserve"> </w:t>
      </w:r>
      <w:r w:rsidRPr="003E0725">
        <w:t>the</w:t>
      </w:r>
      <w:r w:rsidRPr="002B2854">
        <w:t xml:space="preserve"> </w:t>
      </w:r>
      <w:r w:rsidRPr="003E0725">
        <w:t>delegated functions regulate the proceedings of the ICB and can fulfil its obligations, as set out largely</w:t>
      </w:r>
      <w:r w:rsidRPr="002B2854">
        <w:t xml:space="preserve"> </w:t>
      </w:r>
      <w:r w:rsidRPr="003E0725">
        <w:t>in</w:t>
      </w:r>
      <w:r w:rsidRPr="002B2854">
        <w:t xml:space="preserve"> </w:t>
      </w:r>
      <w:r w:rsidRPr="003E0725">
        <w:t>the</w:t>
      </w:r>
      <w:r w:rsidRPr="002B2854">
        <w:t xml:space="preserve"> </w:t>
      </w:r>
      <w:r w:rsidRPr="003E0725">
        <w:t>2022</w:t>
      </w:r>
      <w:r w:rsidRPr="002B2854">
        <w:t xml:space="preserve"> </w:t>
      </w:r>
      <w:r w:rsidRPr="003E0725">
        <w:t>Act</w:t>
      </w:r>
      <w:r w:rsidRPr="002B2854">
        <w:t xml:space="preserve"> </w:t>
      </w:r>
      <w:r w:rsidRPr="003E0725">
        <w:t>(or</w:t>
      </w:r>
      <w:r w:rsidRPr="002B2854">
        <w:t xml:space="preserve"> </w:t>
      </w:r>
      <w:r w:rsidRPr="003E0725">
        <w:t>2012</w:t>
      </w:r>
      <w:r w:rsidRPr="002B2854">
        <w:t xml:space="preserve"> </w:t>
      </w:r>
      <w:r w:rsidRPr="003E0725">
        <w:t>Act</w:t>
      </w:r>
      <w:r w:rsidRPr="002B2854">
        <w:t xml:space="preserve"> </w:t>
      </w:r>
      <w:r w:rsidRPr="003E0725">
        <w:t>as</w:t>
      </w:r>
      <w:r w:rsidRPr="002B2854">
        <w:t xml:space="preserve"> </w:t>
      </w:r>
      <w:r w:rsidRPr="003E0725">
        <w:t>amended</w:t>
      </w:r>
      <w:r w:rsidRPr="002B2854">
        <w:t xml:space="preserve"> </w:t>
      </w:r>
      <w:r w:rsidRPr="003E0725">
        <w:t>in</w:t>
      </w:r>
      <w:r w:rsidRPr="002B2854">
        <w:t xml:space="preserve"> </w:t>
      </w:r>
      <w:r w:rsidRPr="003E0725">
        <w:t>2022)</w:t>
      </w:r>
      <w:r w:rsidRPr="002B2854">
        <w:t xml:space="preserve"> </w:t>
      </w:r>
      <w:r w:rsidRPr="003E0725">
        <w:t>and</w:t>
      </w:r>
      <w:r w:rsidRPr="002B2854">
        <w:t xml:space="preserve"> </w:t>
      </w:r>
      <w:r w:rsidRPr="003E0725">
        <w:t>related</w:t>
      </w:r>
      <w:r w:rsidRPr="002B2854">
        <w:t xml:space="preserve"> </w:t>
      </w:r>
      <w:r w:rsidRPr="003E0725">
        <w:t>Regulations.</w:t>
      </w:r>
      <w:r w:rsidRPr="002B2854">
        <w:t xml:space="preserve"> </w:t>
      </w:r>
      <w:r w:rsidRPr="003E0725">
        <w:t>They are effective from the date the ICB is</w:t>
      </w:r>
      <w:r w:rsidRPr="002B2854">
        <w:t xml:space="preserve"> </w:t>
      </w:r>
      <w:r w:rsidRPr="003E0725">
        <w:t>established.</w:t>
      </w:r>
    </w:p>
    <w:p w14:paraId="1A7705B1" w14:textId="77777777" w:rsidR="005808E9" w:rsidRDefault="005808E9" w:rsidP="00435C74">
      <w:pPr>
        <w:pStyle w:val="BodyText"/>
        <w:ind w:left="821" w:right="-11"/>
        <w:jc w:val="both"/>
      </w:pPr>
    </w:p>
    <w:p w14:paraId="2C7740CB" w14:textId="6735C0B7" w:rsidR="005808E9" w:rsidRDefault="005808E9" w:rsidP="00435C74">
      <w:pPr>
        <w:pStyle w:val="BodyText"/>
        <w:ind w:left="821" w:right="-11"/>
        <w:jc w:val="both"/>
      </w:pPr>
      <w:r w:rsidRPr="005808E9">
        <w:t>The ICB Scheme of Reservation and Delegation (SORD) sets out those decisions that are reserved to the ICB Board and those decisions that have been delegated to either committees, individuals, or others. The SORD should be read in conjunction with the Operational Scheme of Delegation which sets out the detailed operational approved financial delegated limits.</w:t>
      </w:r>
    </w:p>
    <w:p w14:paraId="7AF7309F" w14:textId="77777777" w:rsidR="008F22E5" w:rsidRPr="003E0725" w:rsidRDefault="008F22E5" w:rsidP="00435C74">
      <w:pPr>
        <w:pStyle w:val="BodyText"/>
        <w:ind w:left="821" w:right="-11"/>
        <w:jc w:val="both"/>
      </w:pPr>
    </w:p>
    <w:p w14:paraId="57C034C7" w14:textId="13329372" w:rsidR="00556DDB" w:rsidRDefault="00C51ED5" w:rsidP="00435C74">
      <w:pPr>
        <w:pStyle w:val="BodyText"/>
        <w:ind w:left="821" w:right="-11"/>
        <w:jc w:val="both"/>
      </w:pPr>
      <w:r w:rsidRPr="003E0725">
        <w:t>Failure to comply with Scheme of Reservation and Delegation may be regarded as a disciplinary matter that could result in formal action and/or dismissal.</w:t>
      </w:r>
    </w:p>
    <w:p w14:paraId="5E54CE99" w14:textId="77777777" w:rsidR="003B6C14" w:rsidRDefault="003B6C14" w:rsidP="00435C74">
      <w:pPr>
        <w:pStyle w:val="BodyText"/>
        <w:ind w:left="821" w:right="-11"/>
        <w:jc w:val="both"/>
      </w:pPr>
    </w:p>
    <w:p w14:paraId="7FE977B2" w14:textId="5B011E7F" w:rsidR="003B6C14" w:rsidRDefault="003B6C14" w:rsidP="00CF3919">
      <w:pPr>
        <w:pStyle w:val="BodyText"/>
        <w:ind w:left="821"/>
      </w:pPr>
      <w:r w:rsidRPr="00A141A1">
        <w:t xml:space="preserve">The ICB’s </w:t>
      </w:r>
      <w:r w:rsidR="004A6473" w:rsidRPr="00A141A1">
        <w:t>Scheme of Reservation and Delegation</w:t>
      </w:r>
      <w:r w:rsidR="004A6473" w:rsidRPr="004D5386">
        <w:t xml:space="preserve"> </w:t>
      </w:r>
      <w:r w:rsidR="004A6473" w:rsidRPr="00A141A1">
        <w:t>(</w:t>
      </w:r>
      <w:proofErr w:type="spellStart"/>
      <w:r w:rsidR="004A6473" w:rsidRPr="00A141A1">
        <w:t>SoRD</w:t>
      </w:r>
      <w:proofErr w:type="spellEnd"/>
      <w:r w:rsidR="004A6473" w:rsidRPr="00A141A1">
        <w:t xml:space="preserve">) </w:t>
      </w:r>
      <w:r w:rsidRPr="00A141A1">
        <w:t>can be viewed via the following link:</w:t>
      </w:r>
      <w:r w:rsidR="00A141A1">
        <w:t xml:space="preserve"> </w:t>
      </w:r>
      <w:hyperlink r:id="rId16" w:history="1">
        <w:r w:rsidR="00E509BF" w:rsidRPr="00836B96">
          <w:rPr>
            <w:rStyle w:val="Hyperlink"/>
          </w:rPr>
          <w:t>https://humberandnorthyorkshire.icb.nhs.uk/governance-publications/</w:t>
        </w:r>
      </w:hyperlink>
    </w:p>
    <w:p w14:paraId="68CE1A2C" w14:textId="77777777" w:rsidR="004D5386" w:rsidRPr="004D5386" w:rsidRDefault="004D5386" w:rsidP="00A141A1">
      <w:pPr>
        <w:pStyle w:val="Heading1"/>
        <w:tabs>
          <w:tab w:val="left" w:pos="821"/>
        </w:tabs>
        <w:ind w:right="61"/>
        <w:jc w:val="both"/>
        <w:rPr>
          <w:b w:val="0"/>
          <w:bCs w:val="0"/>
        </w:rPr>
      </w:pPr>
    </w:p>
    <w:p w14:paraId="3DD83FC1" w14:textId="77777777" w:rsidR="00556DDB" w:rsidRPr="003E0725" w:rsidRDefault="00C51ED5" w:rsidP="009F1DB5">
      <w:pPr>
        <w:pStyle w:val="Heading1"/>
        <w:numPr>
          <w:ilvl w:val="1"/>
          <w:numId w:val="2"/>
        </w:numPr>
        <w:tabs>
          <w:tab w:val="left" w:pos="821"/>
          <w:tab w:val="left" w:pos="822"/>
        </w:tabs>
        <w:ind w:left="821" w:hanging="722"/>
      </w:pPr>
      <w:bookmarkStart w:id="10" w:name="_Toc202965714"/>
      <w:r w:rsidRPr="003E0725">
        <w:t>Standing Financial Instructions</w:t>
      </w:r>
      <w:r w:rsidRPr="003E0725">
        <w:rPr>
          <w:spacing w:val="2"/>
        </w:rPr>
        <w:t xml:space="preserve"> </w:t>
      </w:r>
      <w:r w:rsidRPr="003E0725">
        <w:t>(SFIs)</w:t>
      </w:r>
      <w:bookmarkEnd w:id="10"/>
    </w:p>
    <w:p w14:paraId="2C129BD7" w14:textId="77777777" w:rsidR="00556DDB" w:rsidRPr="003E0725" w:rsidRDefault="00556DDB" w:rsidP="009F1DB5">
      <w:pPr>
        <w:pStyle w:val="BodyText"/>
        <w:rPr>
          <w:b/>
        </w:rPr>
      </w:pPr>
    </w:p>
    <w:p w14:paraId="367A54E2" w14:textId="0CE8A682" w:rsidR="00556DDB" w:rsidRDefault="00C51ED5" w:rsidP="00435C74">
      <w:pPr>
        <w:pStyle w:val="BodyText"/>
        <w:ind w:left="821" w:right="-11"/>
        <w:jc w:val="both"/>
      </w:pPr>
      <w:r w:rsidRPr="003E0725">
        <w:t>The Standing Financial Instructions are part of the ICB's control environment for managing the organisation’s financial affairs. They contribute to good corporate governance, internal control and managing risks. They enable sound administration,</w:t>
      </w:r>
      <w:r w:rsidR="008F22E5">
        <w:t xml:space="preserve"> </w:t>
      </w:r>
      <w:r w:rsidRPr="003E0725">
        <w:t xml:space="preserve">lessen the risk of irregularities and support commissioning and delivery of effective, </w:t>
      </w:r>
      <w:r w:rsidR="001B2473" w:rsidRPr="003E0725">
        <w:t>efficient,</w:t>
      </w:r>
      <w:r w:rsidRPr="003E0725">
        <w:t xml:space="preserve"> and economical services. They also help the Accountable Officer and Director of</w:t>
      </w:r>
      <w:r w:rsidRPr="003E0725">
        <w:rPr>
          <w:spacing w:val="-7"/>
        </w:rPr>
        <w:t xml:space="preserve"> </w:t>
      </w:r>
      <w:r w:rsidRPr="003E0725">
        <w:t>Finance</w:t>
      </w:r>
      <w:r w:rsidRPr="003E0725">
        <w:rPr>
          <w:spacing w:val="-8"/>
        </w:rPr>
        <w:t xml:space="preserve"> </w:t>
      </w:r>
      <w:r w:rsidRPr="003E0725">
        <w:t>and</w:t>
      </w:r>
      <w:r w:rsidRPr="003E0725">
        <w:rPr>
          <w:spacing w:val="-8"/>
        </w:rPr>
        <w:t xml:space="preserve"> </w:t>
      </w:r>
      <w:r w:rsidRPr="003E0725">
        <w:t>Investment</w:t>
      </w:r>
      <w:r w:rsidRPr="003E0725">
        <w:rPr>
          <w:spacing w:val="-5"/>
        </w:rPr>
        <w:t xml:space="preserve"> </w:t>
      </w:r>
      <w:r w:rsidRPr="003E0725">
        <w:t>to</w:t>
      </w:r>
      <w:r w:rsidRPr="003E0725">
        <w:rPr>
          <w:spacing w:val="-9"/>
        </w:rPr>
        <w:t xml:space="preserve"> </w:t>
      </w:r>
      <w:r w:rsidRPr="003E0725">
        <w:t>discharge</w:t>
      </w:r>
      <w:r w:rsidRPr="003E0725">
        <w:rPr>
          <w:spacing w:val="-5"/>
        </w:rPr>
        <w:t xml:space="preserve"> </w:t>
      </w:r>
      <w:r w:rsidRPr="003E0725">
        <w:t>their</w:t>
      </w:r>
      <w:r w:rsidRPr="003E0725">
        <w:rPr>
          <w:spacing w:val="-10"/>
        </w:rPr>
        <w:t xml:space="preserve"> </w:t>
      </w:r>
      <w:r w:rsidRPr="003E0725">
        <w:t>responsibilities</w:t>
      </w:r>
      <w:r w:rsidRPr="003E0725">
        <w:rPr>
          <w:spacing w:val="-5"/>
        </w:rPr>
        <w:t xml:space="preserve"> </w:t>
      </w:r>
      <w:r w:rsidRPr="003E0725">
        <w:t>effectively.</w:t>
      </w:r>
      <w:r w:rsidRPr="003E0725">
        <w:rPr>
          <w:spacing w:val="-6"/>
        </w:rPr>
        <w:t xml:space="preserve"> </w:t>
      </w:r>
      <w:r w:rsidRPr="003E0725">
        <w:t>They</w:t>
      </w:r>
      <w:r w:rsidRPr="003E0725">
        <w:rPr>
          <w:spacing w:val="-8"/>
        </w:rPr>
        <w:t xml:space="preserve"> </w:t>
      </w:r>
      <w:r w:rsidRPr="003E0725">
        <w:t>should</w:t>
      </w:r>
      <w:r w:rsidRPr="003E0725">
        <w:rPr>
          <w:spacing w:val="-6"/>
        </w:rPr>
        <w:t xml:space="preserve"> </w:t>
      </w:r>
      <w:r w:rsidRPr="003E0725">
        <w:t>be read in conjunction with the ICB's</w:t>
      </w:r>
      <w:r w:rsidRPr="003E0725">
        <w:rPr>
          <w:spacing w:val="1"/>
        </w:rPr>
        <w:t xml:space="preserve"> </w:t>
      </w:r>
      <w:proofErr w:type="spellStart"/>
      <w:r w:rsidRPr="003E0725">
        <w:t>SoRD</w:t>
      </w:r>
      <w:proofErr w:type="spellEnd"/>
      <w:r w:rsidRPr="003E0725">
        <w:t>.</w:t>
      </w:r>
    </w:p>
    <w:p w14:paraId="7CE1CBAE" w14:textId="77777777" w:rsidR="008F22E5" w:rsidRPr="003E0725" w:rsidRDefault="008F22E5" w:rsidP="00435C74">
      <w:pPr>
        <w:pStyle w:val="BodyText"/>
        <w:ind w:left="821" w:right="521"/>
        <w:jc w:val="both"/>
      </w:pPr>
    </w:p>
    <w:p w14:paraId="0E173054" w14:textId="4F4938C0" w:rsidR="00556DDB" w:rsidRDefault="00C51ED5" w:rsidP="00435C74">
      <w:pPr>
        <w:pStyle w:val="BodyText"/>
        <w:ind w:left="821" w:right="-11"/>
        <w:jc w:val="both"/>
      </w:pPr>
      <w:r w:rsidRPr="003E0725">
        <w:t>The Standing Financial Instruction and supporting detailed financial policies shall have effect as if incorporated into the ICB's Constitution.</w:t>
      </w:r>
    </w:p>
    <w:p w14:paraId="469C6629" w14:textId="77777777" w:rsidR="00086410" w:rsidRDefault="00086410" w:rsidP="00435C74">
      <w:pPr>
        <w:pStyle w:val="BodyText"/>
        <w:ind w:left="821" w:right="-11"/>
        <w:jc w:val="both"/>
      </w:pPr>
    </w:p>
    <w:p w14:paraId="02DF7A78" w14:textId="77777777" w:rsidR="00A141A1" w:rsidRDefault="00A141A1" w:rsidP="00A141A1">
      <w:pPr>
        <w:pStyle w:val="BodyText"/>
        <w:ind w:left="821" w:right="-11"/>
        <w:jc w:val="both"/>
      </w:pPr>
      <w:r>
        <w:t>The ICB Standing Financial Instructions can be viewed via the following link:</w:t>
      </w:r>
    </w:p>
    <w:p w14:paraId="3BF0C1B4" w14:textId="0BEEFCDE" w:rsidR="00A141A1" w:rsidRDefault="00A141A1" w:rsidP="00A141A1">
      <w:pPr>
        <w:pStyle w:val="BodyText"/>
        <w:ind w:left="821" w:right="-11"/>
        <w:jc w:val="both"/>
      </w:pPr>
      <w:hyperlink r:id="rId17" w:history="1">
        <w:r w:rsidRPr="00836B96">
          <w:rPr>
            <w:rStyle w:val="Hyperlink"/>
          </w:rPr>
          <w:t>https://humberandnorthyorkshire.icb.nhs.uk/governance-publications/</w:t>
        </w:r>
      </w:hyperlink>
    </w:p>
    <w:p w14:paraId="55F8F316" w14:textId="77777777" w:rsidR="00086410" w:rsidRDefault="00086410" w:rsidP="00086410">
      <w:pPr>
        <w:pStyle w:val="BodyText"/>
        <w:ind w:right="-11"/>
        <w:jc w:val="both"/>
      </w:pPr>
    </w:p>
    <w:p w14:paraId="48FD91A9" w14:textId="130A6FFD" w:rsidR="00086410" w:rsidRDefault="000E68FA" w:rsidP="000E68FA">
      <w:pPr>
        <w:pStyle w:val="Heading1"/>
        <w:ind w:left="142"/>
      </w:pPr>
      <w:bookmarkStart w:id="11" w:name="_Toc202965715"/>
      <w:r>
        <w:t xml:space="preserve">4.3 </w:t>
      </w:r>
      <w:r w:rsidR="00B87602">
        <w:tab/>
        <w:t xml:space="preserve"> Scheme of Financial Delegation (OSD)</w:t>
      </w:r>
      <w:bookmarkEnd w:id="11"/>
      <w:r w:rsidR="00B87602">
        <w:t xml:space="preserve"> </w:t>
      </w:r>
      <w:r w:rsidR="00086410">
        <w:t xml:space="preserve"> </w:t>
      </w:r>
    </w:p>
    <w:p w14:paraId="3747669F" w14:textId="77777777" w:rsidR="00086410" w:rsidRDefault="00086410" w:rsidP="00086410">
      <w:pPr>
        <w:pStyle w:val="BodyText"/>
        <w:ind w:left="809" w:right="-11"/>
        <w:jc w:val="both"/>
      </w:pPr>
    </w:p>
    <w:p w14:paraId="5401E637" w14:textId="44638AEF" w:rsidR="00A141A1" w:rsidRDefault="001913D6" w:rsidP="005E269E">
      <w:pPr>
        <w:pStyle w:val="BodyText"/>
        <w:ind w:left="821" w:right="-11"/>
        <w:jc w:val="both"/>
      </w:pPr>
      <w:r w:rsidRPr="001913D6">
        <w:t xml:space="preserve">The ICB’s </w:t>
      </w:r>
      <w:r w:rsidR="00B87602">
        <w:t xml:space="preserve">Scheme of Financial Delegation </w:t>
      </w:r>
      <w:r w:rsidRPr="001913D6">
        <w:t>supports the ICB’s Scheme of Reservation and Delegation an</w:t>
      </w:r>
      <w:r w:rsidR="00A805ED">
        <w:t>d</w:t>
      </w:r>
      <w:r w:rsidR="00A805ED" w:rsidRPr="00A805ED">
        <w:t xml:space="preserve"> sets out who has ‘day to day’ operational decision making defining delegated limits and routes of escalation for sign off where appropriate and lays down financial limits to the authority of ICB and others to commit or approve expenditure on behalf of the ICB.</w:t>
      </w:r>
    </w:p>
    <w:p w14:paraId="7696477A" w14:textId="77777777" w:rsidR="00445BF1" w:rsidRDefault="00445BF1" w:rsidP="005E269E">
      <w:pPr>
        <w:pStyle w:val="BodyText"/>
        <w:ind w:left="821" w:right="-11"/>
        <w:jc w:val="both"/>
      </w:pPr>
    </w:p>
    <w:p w14:paraId="1EE20CAC" w14:textId="39BCC16A" w:rsidR="00445BF1" w:rsidRDefault="004512BF" w:rsidP="005E269E">
      <w:pPr>
        <w:pStyle w:val="BodyText"/>
        <w:ind w:left="821" w:right="-11"/>
        <w:jc w:val="both"/>
      </w:pPr>
      <w:r>
        <w:lastRenderedPageBreak/>
        <w:t xml:space="preserve">This </w:t>
      </w:r>
      <w:r w:rsidRPr="004512BF">
        <w:t>should be read in conjunction</w:t>
      </w:r>
      <w:r>
        <w:t xml:space="preserve"> with the Scheme of Reservation and Delegation and Standing Financial Instructions</w:t>
      </w:r>
      <w:r w:rsidR="00A11C5D">
        <w:t>.</w:t>
      </w:r>
    </w:p>
    <w:p w14:paraId="68D50979" w14:textId="77777777" w:rsidR="00A11C5D" w:rsidRDefault="00A11C5D" w:rsidP="005E269E">
      <w:pPr>
        <w:pStyle w:val="BodyText"/>
        <w:ind w:left="821" w:right="-11"/>
        <w:jc w:val="both"/>
      </w:pPr>
    </w:p>
    <w:p w14:paraId="269C3494" w14:textId="77777777" w:rsidR="00705253" w:rsidRPr="00705253" w:rsidRDefault="00705253" w:rsidP="005E269E">
      <w:pPr>
        <w:pStyle w:val="BodyText"/>
        <w:ind w:left="821" w:right="-11"/>
        <w:jc w:val="both"/>
      </w:pPr>
      <w:r w:rsidRPr="00705253">
        <w:t>The ICB’s Operational Scheme of Delegation can be viewed via the following link:</w:t>
      </w:r>
    </w:p>
    <w:p w14:paraId="5199D13B" w14:textId="25D2CB47" w:rsidR="00705253" w:rsidRPr="00705253" w:rsidRDefault="00705253" w:rsidP="00705253">
      <w:pPr>
        <w:pStyle w:val="BodyText"/>
        <w:ind w:left="821" w:right="-11"/>
        <w:jc w:val="both"/>
      </w:pPr>
      <w:hyperlink r:id="rId18" w:history="1">
        <w:r w:rsidRPr="00F92B99">
          <w:rPr>
            <w:rStyle w:val="Hyperlink"/>
          </w:rPr>
          <w:t>https://humberandnorthyorkshire.icb.nhs.uk/governance-publications/</w:t>
        </w:r>
      </w:hyperlink>
    </w:p>
    <w:p w14:paraId="610150F4" w14:textId="77777777" w:rsidR="00A11C5D" w:rsidRDefault="00A11C5D" w:rsidP="00A141A1">
      <w:pPr>
        <w:pStyle w:val="BodyText"/>
        <w:ind w:left="821" w:right="-11"/>
        <w:jc w:val="both"/>
      </w:pPr>
    </w:p>
    <w:p w14:paraId="2882D4BF" w14:textId="77777777" w:rsidR="00E53739" w:rsidRDefault="00E53739" w:rsidP="00A141A1">
      <w:pPr>
        <w:pStyle w:val="BodyText"/>
        <w:ind w:left="821" w:right="-11"/>
        <w:jc w:val="both"/>
      </w:pPr>
    </w:p>
    <w:p w14:paraId="528FA6C8" w14:textId="685EFA9B" w:rsidR="00C56644" w:rsidRPr="00F77608" w:rsidRDefault="007312B8" w:rsidP="007C4A7F">
      <w:pPr>
        <w:pStyle w:val="Heading1"/>
        <w:ind w:left="709" w:hanging="709"/>
      </w:pPr>
      <w:bookmarkStart w:id="12" w:name="_Toc202965716"/>
      <w:r w:rsidRPr="00873BD2">
        <w:t>5.0</w:t>
      </w:r>
      <w:r w:rsidR="00F77608" w:rsidRPr="00F77608">
        <w:tab/>
        <w:t xml:space="preserve"> </w:t>
      </w:r>
      <w:r w:rsidR="00F77608">
        <w:t>GOVERNANCE POLICIES</w:t>
      </w:r>
      <w:bookmarkEnd w:id="12"/>
      <w:r w:rsidR="00F77608">
        <w:t xml:space="preserve"> </w:t>
      </w:r>
    </w:p>
    <w:p w14:paraId="6BFE15C7" w14:textId="77777777" w:rsidR="00C56644" w:rsidRDefault="00C56644" w:rsidP="00C56644">
      <w:pPr>
        <w:pStyle w:val="BodyText"/>
        <w:ind w:left="821" w:right="528"/>
        <w:jc w:val="both"/>
      </w:pPr>
    </w:p>
    <w:p w14:paraId="0875323E" w14:textId="0D966C4E" w:rsidR="00210034" w:rsidRDefault="00C56644" w:rsidP="00C56644">
      <w:pPr>
        <w:pStyle w:val="BodyText"/>
        <w:ind w:left="821" w:right="528"/>
        <w:jc w:val="both"/>
      </w:pPr>
      <w:r>
        <w:t>The ICB has a suite of mandated documents and policies as an essential part of the safe and effective operation of the Integrated Care Board as a statutory NHS body. Each of the policies and documents supplements the ICB Constitution and supports the ICB’s accountability as a public body.</w:t>
      </w:r>
    </w:p>
    <w:p w14:paraId="3A3D2072" w14:textId="77777777" w:rsidR="00705253" w:rsidRDefault="00705253" w:rsidP="00C56644">
      <w:pPr>
        <w:pStyle w:val="BodyText"/>
        <w:ind w:left="821" w:right="528"/>
        <w:jc w:val="both"/>
      </w:pPr>
    </w:p>
    <w:p w14:paraId="1F62358F" w14:textId="67F9D58D" w:rsidR="00705253" w:rsidRDefault="005E269E" w:rsidP="00C56644">
      <w:pPr>
        <w:pStyle w:val="BodyText"/>
        <w:ind w:left="821" w:right="528"/>
        <w:jc w:val="both"/>
      </w:pPr>
      <w:r>
        <w:t>The suite of governance documents can be viewed via the following link:</w:t>
      </w:r>
    </w:p>
    <w:p w14:paraId="4041121B" w14:textId="6EE1D6A2" w:rsidR="00F77608" w:rsidRPr="00F92B99" w:rsidRDefault="00F92B99" w:rsidP="00C56644">
      <w:pPr>
        <w:pStyle w:val="BodyText"/>
        <w:ind w:left="821" w:right="528"/>
        <w:jc w:val="both"/>
      </w:pPr>
      <w:hyperlink r:id="rId19" w:history="1">
        <w:r w:rsidRPr="00F92B99">
          <w:rPr>
            <w:rStyle w:val="Hyperlink"/>
          </w:rPr>
          <w:t>https://humberandnorthyorkshire.icb.nhs.uk/governance-publications/</w:t>
        </w:r>
      </w:hyperlink>
    </w:p>
    <w:p w14:paraId="54A2BCDC" w14:textId="77777777" w:rsidR="00F92B99" w:rsidRDefault="00F92B99" w:rsidP="00C56644">
      <w:pPr>
        <w:pStyle w:val="BodyText"/>
        <w:ind w:left="821" w:right="528"/>
        <w:jc w:val="both"/>
        <w:rPr>
          <w:sz w:val="22"/>
          <w:szCs w:val="22"/>
        </w:rPr>
      </w:pPr>
    </w:p>
    <w:p w14:paraId="5BF5F881" w14:textId="77777777" w:rsidR="00F77608" w:rsidRDefault="00F77608" w:rsidP="00C56644">
      <w:pPr>
        <w:pStyle w:val="BodyText"/>
        <w:ind w:left="821" w:right="528"/>
        <w:jc w:val="both"/>
        <w:rPr>
          <w:sz w:val="22"/>
          <w:szCs w:val="22"/>
        </w:rPr>
      </w:pPr>
    </w:p>
    <w:p w14:paraId="2AA5D245" w14:textId="545A0DE9" w:rsidR="00556DDB" w:rsidRPr="003E0725" w:rsidRDefault="007312B8" w:rsidP="007312B8">
      <w:pPr>
        <w:pStyle w:val="Heading1"/>
        <w:tabs>
          <w:tab w:val="left" w:pos="821"/>
        </w:tabs>
        <w:ind w:left="100" w:hanging="100"/>
      </w:pPr>
      <w:bookmarkStart w:id="13" w:name="_Toc202965717"/>
      <w:r>
        <w:t>6</w:t>
      </w:r>
      <w:r w:rsidR="00C51ED5" w:rsidRPr="003E0725">
        <w:t>.0</w:t>
      </w:r>
      <w:r w:rsidR="00C51ED5" w:rsidRPr="003E0725">
        <w:tab/>
      </w:r>
      <w:r w:rsidR="000731BF" w:rsidRPr="003E0725">
        <w:t>APPENDICES</w:t>
      </w:r>
      <w:bookmarkEnd w:id="13"/>
      <w:r w:rsidR="000731BF" w:rsidRPr="003E0725">
        <w:t xml:space="preserve"> </w:t>
      </w:r>
    </w:p>
    <w:p w14:paraId="36806D0B" w14:textId="77777777" w:rsidR="00556DDB" w:rsidRPr="003E0725" w:rsidRDefault="00556DDB" w:rsidP="009F1DB5">
      <w:pPr>
        <w:pStyle w:val="BodyText"/>
        <w:rPr>
          <w:b/>
        </w:rPr>
      </w:pPr>
    </w:p>
    <w:p w14:paraId="77E41FE0" w14:textId="0D1A1DAE" w:rsidR="00556DDB" w:rsidRPr="003E0725" w:rsidRDefault="00C51ED5" w:rsidP="00435C74">
      <w:pPr>
        <w:ind w:left="821"/>
        <w:jc w:val="both"/>
        <w:rPr>
          <w:sz w:val="24"/>
          <w:szCs w:val="24"/>
        </w:rPr>
      </w:pPr>
      <w:r w:rsidRPr="003E0725">
        <w:rPr>
          <w:b/>
          <w:sz w:val="24"/>
          <w:szCs w:val="24"/>
        </w:rPr>
        <w:t xml:space="preserve">Appendix A: </w:t>
      </w:r>
      <w:r w:rsidR="0070688F" w:rsidRPr="003E0725">
        <w:rPr>
          <w:bCs/>
          <w:sz w:val="24"/>
          <w:szCs w:val="24"/>
        </w:rPr>
        <w:t xml:space="preserve">NHS Humber and North Yorkshire ICB </w:t>
      </w:r>
      <w:r w:rsidRPr="003E0725">
        <w:rPr>
          <w:sz w:val="24"/>
          <w:szCs w:val="24"/>
        </w:rPr>
        <w:t>Governance Structure Summary</w:t>
      </w:r>
    </w:p>
    <w:p w14:paraId="748A3B15" w14:textId="14DED204" w:rsidR="00684461" w:rsidRPr="003E0725" w:rsidRDefault="00684461" w:rsidP="00435C74">
      <w:pPr>
        <w:pStyle w:val="BodyText"/>
        <w:ind w:left="821"/>
        <w:jc w:val="both"/>
      </w:pPr>
      <w:r w:rsidRPr="008F22E5">
        <w:rPr>
          <w:b/>
          <w:bCs/>
        </w:rPr>
        <w:t xml:space="preserve">Appendix </w:t>
      </w:r>
      <w:r w:rsidR="00A141A1">
        <w:rPr>
          <w:b/>
          <w:bCs/>
        </w:rPr>
        <w:t>B</w:t>
      </w:r>
      <w:r w:rsidR="008F22E5">
        <w:rPr>
          <w:b/>
          <w:bCs/>
        </w:rPr>
        <w:t xml:space="preserve">: </w:t>
      </w:r>
      <w:r w:rsidRPr="003E0725">
        <w:t>Specialist Roles</w:t>
      </w:r>
    </w:p>
    <w:p w14:paraId="4C59C418" w14:textId="7DB3D2D0" w:rsidR="00556DDB" w:rsidRPr="003E0725" w:rsidRDefault="00C51ED5" w:rsidP="00435C74">
      <w:pPr>
        <w:pStyle w:val="BodyText"/>
        <w:ind w:left="821"/>
        <w:jc w:val="both"/>
      </w:pPr>
      <w:r w:rsidRPr="003E0725">
        <w:rPr>
          <w:b/>
        </w:rPr>
        <w:t xml:space="preserve">Appendix </w:t>
      </w:r>
      <w:r w:rsidR="00A141A1">
        <w:rPr>
          <w:b/>
        </w:rPr>
        <w:t>C</w:t>
      </w:r>
      <w:r w:rsidRPr="003E0725">
        <w:rPr>
          <w:b/>
        </w:rPr>
        <w:t xml:space="preserve">: </w:t>
      </w:r>
      <w:r w:rsidRPr="003E0725">
        <w:t>List of providers of primary medical services; Humber &amp; North Yorkshire</w:t>
      </w:r>
    </w:p>
    <w:p w14:paraId="2AC4AC54" w14:textId="77777777" w:rsidR="00556DDB" w:rsidRDefault="00556DDB">
      <w:pPr>
        <w:sectPr w:rsidR="00556DDB" w:rsidSect="008E67B0">
          <w:pgSz w:w="11930" w:h="16850"/>
          <w:pgMar w:top="709" w:right="1080" w:bottom="1440" w:left="1080" w:header="227" w:footer="229" w:gutter="0"/>
          <w:cols w:space="720"/>
          <w:docGrid w:linePitch="299"/>
        </w:sectPr>
      </w:pPr>
    </w:p>
    <w:p w14:paraId="5613E3A9" w14:textId="54C89B7A" w:rsidR="00556DDB" w:rsidRDefault="00C51ED5">
      <w:pPr>
        <w:tabs>
          <w:tab w:val="left" w:pos="13082"/>
        </w:tabs>
        <w:ind w:left="1014"/>
        <w:rPr>
          <w:sz w:val="20"/>
        </w:rPr>
      </w:pPr>
      <w:r>
        <w:rPr>
          <w:noProof/>
          <w:position w:val="22"/>
          <w:sz w:val="20"/>
        </w:rPr>
        <w:lastRenderedPageBreak/>
        <w:drawing>
          <wp:inline distT="0" distB="0" distL="0" distR="0" wp14:anchorId="344C0B28" wp14:editId="1A7199AA">
            <wp:extent cx="2912137" cy="553783"/>
            <wp:effectExtent l="0" t="0" r="0" b="0"/>
            <wp:docPr id="21"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jpe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912137" cy="553783"/>
                    </a:xfrm>
                    <a:prstGeom prst="rect">
                      <a:avLst/>
                    </a:prstGeom>
                  </pic:spPr>
                </pic:pic>
              </a:graphicData>
            </a:graphic>
          </wp:inline>
        </w:drawing>
      </w:r>
      <w:r>
        <w:rPr>
          <w:position w:val="22"/>
          <w:sz w:val="20"/>
        </w:rPr>
        <w:tab/>
      </w:r>
      <w:r>
        <w:rPr>
          <w:noProof/>
          <w:sz w:val="20"/>
        </w:rPr>
        <w:drawing>
          <wp:inline distT="0" distB="0" distL="0" distR="0" wp14:anchorId="263BC4A9" wp14:editId="1320C469">
            <wp:extent cx="1570435" cy="838200"/>
            <wp:effectExtent l="0" t="0" r="0" b="0"/>
            <wp:docPr id="2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570435" cy="838200"/>
                    </a:xfrm>
                    <a:prstGeom prst="rect">
                      <a:avLst/>
                    </a:prstGeom>
                  </pic:spPr>
                </pic:pic>
              </a:graphicData>
            </a:graphic>
          </wp:inline>
        </w:drawing>
      </w:r>
    </w:p>
    <w:p w14:paraId="5411BFBB" w14:textId="1879925B" w:rsidR="00556DDB" w:rsidRDefault="00C51ED5">
      <w:pPr>
        <w:pStyle w:val="Heading1"/>
        <w:spacing w:before="82"/>
        <w:ind w:left="132"/>
      </w:pPr>
      <w:bookmarkStart w:id="14" w:name="APPENDIXA"/>
      <w:bookmarkStart w:id="15" w:name="_Toc202965718"/>
      <w:r>
        <w:t>APPENDIX A</w:t>
      </w:r>
      <w:bookmarkEnd w:id="14"/>
      <w:r>
        <w:t xml:space="preserve"> – NHS Humber and North Yorkshire ICB Gover</w:t>
      </w:r>
      <w:r w:rsidR="00672513">
        <w:t>nance Structure</w:t>
      </w:r>
      <w:bookmarkEnd w:id="15"/>
      <w:r w:rsidR="00672513">
        <w:t xml:space="preserve"> </w:t>
      </w:r>
    </w:p>
    <w:p w14:paraId="6895D954" w14:textId="3493F3B5" w:rsidR="007D6AE8" w:rsidRDefault="00E6513F">
      <w:pPr>
        <w:sectPr w:rsidR="007D6AE8" w:rsidSect="008E67B0">
          <w:headerReference w:type="default" r:id="rId20"/>
          <w:footerReference w:type="default" r:id="rId21"/>
          <w:pgSz w:w="16850" w:h="11920" w:orient="landscape"/>
          <w:pgMar w:top="380" w:right="460" w:bottom="280" w:left="720" w:header="0" w:footer="0" w:gutter="0"/>
          <w:cols w:space="720"/>
        </w:sectPr>
      </w:pPr>
      <w:r>
        <w:rPr>
          <w:noProof/>
        </w:rPr>
        <w:drawing>
          <wp:inline distT="0" distB="0" distL="0" distR="0" wp14:anchorId="2AF92D6A" wp14:editId="147609AE">
            <wp:extent cx="10039350" cy="5238750"/>
            <wp:effectExtent l="0" t="0" r="0" b="0"/>
            <wp:docPr id="25901093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10936"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10043569" cy="5240952"/>
                    </a:xfrm>
                    <a:prstGeom prst="rect">
                      <a:avLst/>
                    </a:prstGeom>
                  </pic:spPr>
                </pic:pic>
              </a:graphicData>
            </a:graphic>
          </wp:inline>
        </w:drawing>
      </w:r>
    </w:p>
    <w:p w14:paraId="633108BA" w14:textId="10BB8918" w:rsidR="00684461" w:rsidRPr="00A20E49" w:rsidRDefault="000731BF" w:rsidP="00D77830">
      <w:pPr>
        <w:pStyle w:val="Heading1"/>
        <w:spacing w:before="93"/>
        <w:ind w:left="0" w:firstLine="142"/>
      </w:pPr>
      <w:bookmarkStart w:id="16" w:name="_Toc202965719"/>
      <w:r>
        <w:lastRenderedPageBreak/>
        <w:t xml:space="preserve">APPENDIX </w:t>
      </w:r>
      <w:r w:rsidR="00A141A1">
        <w:t>B</w:t>
      </w:r>
      <w:r w:rsidR="00684461" w:rsidRPr="00C2121B">
        <w:t>– Specialist Roles</w:t>
      </w:r>
      <w:bookmarkEnd w:id="16"/>
      <w:r w:rsidR="00684461" w:rsidRPr="00C2121B">
        <w:t xml:space="preserve"> </w:t>
      </w:r>
    </w:p>
    <w:p w14:paraId="305BCBCE" w14:textId="77777777" w:rsidR="00684461" w:rsidRPr="00D77830" w:rsidRDefault="00684461" w:rsidP="00D77830">
      <w:pPr>
        <w:pStyle w:val="BodyText"/>
        <w:ind w:left="137" w:right="151"/>
      </w:pPr>
    </w:p>
    <w:p w14:paraId="0472E2C6" w14:textId="7EDB4A75" w:rsidR="00C2121B" w:rsidRDefault="00302516" w:rsidP="00435C74">
      <w:pPr>
        <w:pStyle w:val="BodyText"/>
        <w:ind w:left="137" w:right="151"/>
        <w:jc w:val="both"/>
      </w:pPr>
      <w:r w:rsidRPr="00302516">
        <w:t>In July 2024, NHS England published updated guidance on Integrated Care Board Constitutions and Governance, including revised specialist executive lead roles.  The guidance reinforces the requirement for ICBs to assign clear executive leadership responsibilities at board level for key population groups and statutory functions</w:t>
      </w:r>
      <w:r w:rsidR="00C2121B" w:rsidRPr="00D77830">
        <w:t>.  These roles are designed to engender board level commitment and focus around key areas of service development or delivery. Details of Specialist roles can be viewed via the following link:</w:t>
      </w:r>
      <w:r w:rsidR="0041201E">
        <w:t xml:space="preserve"> </w:t>
      </w:r>
      <w:hyperlink r:id="rId24" w:history="1">
        <w:r w:rsidR="0041201E" w:rsidRPr="00836B96">
          <w:rPr>
            <w:rStyle w:val="Hyperlink"/>
          </w:rPr>
          <w:t>https://humberandnorthyorkshire.icb.nhs.uk/board-members/</w:t>
        </w:r>
      </w:hyperlink>
    </w:p>
    <w:p w14:paraId="6112C814" w14:textId="77777777" w:rsidR="0041201E" w:rsidRPr="00D77830" w:rsidRDefault="0041201E" w:rsidP="00435C74">
      <w:pPr>
        <w:pStyle w:val="BodyText"/>
        <w:ind w:left="137" w:right="151"/>
        <w:jc w:val="both"/>
      </w:pPr>
    </w:p>
    <w:p w14:paraId="10429E98" w14:textId="27D6F1EB" w:rsidR="00556DDB" w:rsidRPr="00724B4A" w:rsidRDefault="00C51ED5" w:rsidP="00724B4A">
      <w:pPr>
        <w:pStyle w:val="Heading1"/>
        <w:spacing w:before="93"/>
        <w:ind w:left="137"/>
      </w:pPr>
      <w:bookmarkStart w:id="17" w:name="_Toc202965720"/>
      <w:r w:rsidRPr="00641DED">
        <w:t xml:space="preserve">APPENDIX </w:t>
      </w:r>
      <w:r w:rsidR="00A141A1">
        <w:t>C</w:t>
      </w:r>
      <w:r w:rsidRPr="00641DED">
        <w:t xml:space="preserve"> - List of providers of primary medical services; Humber &amp; North Yorkshire</w:t>
      </w:r>
      <w:bookmarkEnd w:id="17"/>
    </w:p>
    <w:p w14:paraId="66CAE3FD" w14:textId="77777777" w:rsidR="00556DDB" w:rsidRDefault="00556DDB" w:rsidP="00435C74">
      <w:pPr>
        <w:pStyle w:val="BodyText"/>
        <w:jc w:val="both"/>
        <w:rPr>
          <w:b/>
        </w:rPr>
      </w:pPr>
    </w:p>
    <w:p w14:paraId="65EA95D2" w14:textId="6C4A37B6" w:rsidR="00556DDB" w:rsidRDefault="00C51ED5" w:rsidP="008E6F9F">
      <w:pPr>
        <w:pStyle w:val="BodyText"/>
        <w:ind w:left="137" w:right="192"/>
        <w:jc w:val="both"/>
      </w:pPr>
      <w:r>
        <w:t>The following provides a link to where the list of primary medical service providers within Humber and North Yorkshire can be viewed:</w:t>
      </w:r>
      <w:r w:rsidR="008E6F9F">
        <w:t xml:space="preserve"> </w:t>
      </w:r>
    </w:p>
    <w:p w14:paraId="1283F41B" w14:textId="559D9B7F" w:rsidR="00556DDB" w:rsidRDefault="00F72FBE" w:rsidP="00F72FBE">
      <w:pPr>
        <w:pStyle w:val="BodyText"/>
        <w:spacing w:before="3"/>
        <w:ind w:firstLine="137"/>
      </w:pPr>
      <w:hyperlink r:id="rId25" w:history="1">
        <w:r w:rsidRPr="00BA415C">
          <w:rPr>
            <w:rStyle w:val="Hyperlink"/>
          </w:rPr>
          <w:t>https://humberandnorthyorkshire.icb.nhs.uk/governance-publications/</w:t>
        </w:r>
      </w:hyperlink>
    </w:p>
    <w:sectPr w:rsidR="00556DDB" w:rsidSect="008E67B0">
      <w:headerReference w:type="default" r:id="rId26"/>
      <w:footerReference w:type="default" r:id="rId27"/>
      <w:pgSz w:w="11920" w:h="16850"/>
      <w:pgMar w:top="709" w:right="1080" w:bottom="1440" w:left="1080" w:header="426" w:footer="3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31DF3" w14:textId="77777777" w:rsidR="00FE1EB9" w:rsidRDefault="00FE1EB9">
      <w:r>
        <w:separator/>
      </w:r>
    </w:p>
  </w:endnote>
  <w:endnote w:type="continuationSeparator" w:id="0">
    <w:p w14:paraId="11EF93B8" w14:textId="77777777" w:rsidR="00FE1EB9" w:rsidRDefault="00FE1EB9">
      <w:r>
        <w:continuationSeparator/>
      </w:r>
    </w:p>
  </w:endnote>
  <w:endnote w:type="continuationNotice" w:id="1">
    <w:p w14:paraId="13CB9F75" w14:textId="77777777" w:rsidR="00FE1EB9" w:rsidRDefault="00FE1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91"/>
      <w:gridCol w:w="4879"/>
    </w:tblGrid>
    <w:tr w:rsidR="00513546" w14:paraId="17CE95A0" w14:textId="77777777">
      <w:trPr>
        <w:trHeight w:hRule="exact" w:val="115"/>
        <w:jc w:val="center"/>
      </w:trPr>
      <w:tc>
        <w:tcPr>
          <w:tcW w:w="4686" w:type="dxa"/>
          <w:shd w:val="clear" w:color="auto" w:fill="4F81BD" w:themeFill="accent1"/>
          <w:tcMar>
            <w:top w:w="0" w:type="dxa"/>
            <w:bottom w:w="0" w:type="dxa"/>
          </w:tcMar>
        </w:tcPr>
        <w:p w14:paraId="37B1EA1A" w14:textId="77777777" w:rsidR="00513546" w:rsidRDefault="00513546">
          <w:pPr>
            <w:pStyle w:val="Header"/>
            <w:rPr>
              <w:caps/>
              <w:sz w:val="18"/>
            </w:rPr>
          </w:pPr>
        </w:p>
      </w:tc>
      <w:tc>
        <w:tcPr>
          <w:tcW w:w="4674" w:type="dxa"/>
          <w:shd w:val="clear" w:color="auto" w:fill="4F81BD" w:themeFill="accent1"/>
          <w:tcMar>
            <w:top w:w="0" w:type="dxa"/>
            <w:bottom w:w="0" w:type="dxa"/>
          </w:tcMar>
        </w:tcPr>
        <w:p w14:paraId="3F6EC6D4" w14:textId="77777777" w:rsidR="00513546" w:rsidRDefault="00513546">
          <w:pPr>
            <w:pStyle w:val="Header"/>
            <w:jc w:val="right"/>
            <w:rPr>
              <w:caps/>
              <w:sz w:val="18"/>
            </w:rPr>
          </w:pPr>
        </w:p>
      </w:tc>
    </w:tr>
    <w:tr w:rsidR="009104ED" w:rsidRPr="009104ED" w14:paraId="09A2BBC1" w14:textId="77777777">
      <w:trPr>
        <w:jc w:val="center"/>
      </w:trPr>
      <w:tc>
        <w:tcPr>
          <w:tcW w:w="4686" w:type="dxa"/>
          <w:shd w:val="clear" w:color="auto" w:fill="auto"/>
          <w:vAlign w:val="center"/>
        </w:tcPr>
        <w:p w14:paraId="42A669E3" w14:textId="77777777" w:rsidR="00513546" w:rsidRPr="0074575D" w:rsidRDefault="00513546" w:rsidP="00513546">
          <w:pPr>
            <w:spacing w:before="13"/>
            <w:ind w:left="20"/>
          </w:pPr>
          <w:r w:rsidRPr="0074575D">
            <w:t>ICB Governance Handbook</w:t>
          </w:r>
        </w:p>
        <w:p w14:paraId="6B4ED019" w14:textId="6421C97C" w:rsidR="00513546" w:rsidRPr="0074575D" w:rsidRDefault="00513546">
          <w:pPr>
            <w:pStyle w:val="Footer"/>
            <w:rPr>
              <w:caps/>
              <w:sz w:val="18"/>
              <w:szCs w:val="18"/>
            </w:rPr>
          </w:pPr>
        </w:p>
      </w:tc>
      <w:tc>
        <w:tcPr>
          <w:tcW w:w="4674" w:type="dxa"/>
          <w:shd w:val="clear" w:color="auto" w:fill="auto"/>
          <w:vAlign w:val="center"/>
        </w:tcPr>
        <w:p w14:paraId="49923908" w14:textId="77777777" w:rsidR="00513546" w:rsidRPr="000944A1" w:rsidRDefault="00513546">
          <w:pPr>
            <w:pStyle w:val="Footer"/>
            <w:jc w:val="right"/>
            <w:rPr>
              <w:caps/>
              <w:noProof/>
              <w:sz w:val="18"/>
              <w:szCs w:val="18"/>
            </w:rPr>
          </w:pPr>
          <w:r w:rsidRPr="000944A1">
            <w:rPr>
              <w:caps/>
              <w:noProof/>
              <w:sz w:val="18"/>
              <w:szCs w:val="18"/>
            </w:rPr>
            <w:fldChar w:fldCharType="begin"/>
          </w:r>
          <w:r w:rsidRPr="000944A1">
            <w:rPr>
              <w:caps/>
              <w:noProof/>
              <w:sz w:val="18"/>
              <w:szCs w:val="18"/>
            </w:rPr>
            <w:instrText xml:space="preserve"> PAGE   \* MERGEFORMAT </w:instrText>
          </w:r>
          <w:r w:rsidRPr="000944A1">
            <w:rPr>
              <w:caps/>
              <w:noProof/>
              <w:sz w:val="18"/>
              <w:szCs w:val="18"/>
            </w:rPr>
            <w:fldChar w:fldCharType="separate"/>
          </w:r>
          <w:r w:rsidRPr="000944A1">
            <w:rPr>
              <w:caps/>
              <w:noProof/>
              <w:sz w:val="18"/>
              <w:szCs w:val="18"/>
            </w:rPr>
            <w:t>2</w:t>
          </w:r>
          <w:r w:rsidRPr="000944A1">
            <w:rPr>
              <w:caps/>
              <w:noProof/>
              <w:sz w:val="18"/>
              <w:szCs w:val="18"/>
            </w:rPr>
            <w:fldChar w:fldCharType="end"/>
          </w:r>
        </w:p>
      </w:tc>
    </w:tr>
  </w:tbl>
  <w:p w14:paraId="5836DC9D" w14:textId="2A2616E9" w:rsidR="00556DDB" w:rsidRDefault="00556DD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02"/>
      <w:gridCol w:w="5288"/>
    </w:tblGrid>
    <w:tr w:rsidR="00965B2C" w14:paraId="61467F21" w14:textId="77777777">
      <w:trPr>
        <w:trHeight w:hRule="exact" w:val="115"/>
        <w:jc w:val="center"/>
      </w:trPr>
      <w:tc>
        <w:tcPr>
          <w:tcW w:w="4686" w:type="dxa"/>
          <w:shd w:val="clear" w:color="auto" w:fill="4F81BD" w:themeFill="accent1"/>
          <w:tcMar>
            <w:top w:w="0" w:type="dxa"/>
            <w:bottom w:w="0" w:type="dxa"/>
          </w:tcMar>
        </w:tcPr>
        <w:p w14:paraId="2C47D8F9" w14:textId="77777777" w:rsidR="00965B2C" w:rsidRDefault="00965B2C">
          <w:pPr>
            <w:pStyle w:val="Header"/>
            <w:rPr>
              <w:caps/>
              <w:sz w:val="18"/>
            </w:rPr>
          </w:pPr>
        </w:p>
      </w:tc>
      <w:tc>
        <w:tcPr>
          <w:tcW w:w="4674" w:type="dxa"/>
          <w:shd w:val="clear" w:color="auto" w:fill="4F81BD" w:themeFill="accent1"/>
          <w:tcMar>
            <w:top w:w="0" w:type="dxa"/>
            <w:bottom w:w="0" w:type="dxa"/>
          </w:tcMar>
        </w:tcPr>
        <w:p w14:paraId="5B5B8692" w14:textId="77777777" w:rsidR="00965B2C" w:rsidRDefault="00965B2C">
          <w:pPr>
            <w:pStyle w:val="Header"/>
            <w:jc w:val="right"/>
            <w:rPr>
              <w:caps/>
              <w:sz w:val="18"/>
            </w:rPr>
          </w:pPr>
        </w:p>
      </w:tc>
    </w:tr>
    <w:tr w:rsidR="00965B2C" w:rsidRPr="009104ED" w14:paraId="0F791C38" w14:textId="77777777">
      <w:trPr>
        <w:jc w:val="center"/>
      </w:trPr>
      <w:tc>
        <w:tcPr>
          <w:tcW w:w="4686" w:type="dxa"/>
          <w:shd w:val="clear" w:color="auto" w:fill="auto"/>
          <w:vAlign w:val="center"/>
        </w:tcPr>
        <w:p w14:paraId="33A28A51" w14:textId="77777777" w:rsidR="00965B2C" w:rsidRPr="0074575D" w:rsidRDefault="00965B2C" w:rsidP="00965B2C">
          <w:pPr>
            <w:spacing w:before="13"/>
            <w:ind w:left="20"/>
          </w:pPr>
          <w:r w:rsidRPr="0074575D">
            <w:t>ICB Governance Handbook</w:t>
          </w:r>
        </w:p>
        <w:p w14:paraId="68880B00" w14:textId="3A4082C2" w:rsidR="00965B2C" w:rsidRPr="0074575D" w:rsidRDefault="00965B2C">
          <w:pPr>
            <w:pStyle w:val="Footer"/>
            <w:rPr>
              <w:caps/>
              <w:sz w:val="18"/>
              <w:szCs w:val="18"/>
            </w:rPr>
          </w:pPr>
        </w:p>
      </w:tc>
      <w:tc>
        <w:tcPr>
          <w:tcW w:w="4674" w:type="dxa"/>
          <w:shd w:val="clear" w:color="auto" w:fill="auto"/>
          <w:vAlign w:val="center"/>
        </w:tcPr>
        <w:p w14:paraId="461ADC10" w14:textId="77777777" w:rsidR="00965B2C" w:rsidRPr="0074575D" w:rsidRDefault="00965B2C">
          <w:pPr>
            <w:pStyle w:val="Footer"/>
            <w:jc w:val="right"/>
            <w:rPr>
              <w:b/>
              <w:bCs/>
              <w:caps/>
              <w:noProof/>
              <w:sz w:val="18"/>
              <w:szCs w:val="18"/>
            </w:rPr>
          </w:pPr>
          <w:r w:rsidRPr="0074575D">
            <w:rPr>
              <w:b/>
              <w:bCs/>
              <w:caps/>
              <w:noProof/>
              <w:sz w:val="18"/>
              <w:szCs w:val="18"/>
            </w:rPr>
            <w:fldChar w:fldCharType="begin"/>
          </w:r>
          <w:r w:rsidRPr="0074575D">
            <w:rPr>
              <w:b/>
              <w:bCs/>
              <w:caps/>
              <w:noProof/>
              <w:sz w:val="18"/>
              <w:szCs w:val="18"/>
            </w:rPr>
            <w:instrText xml:space="preserve"> PAGE   \* MERGEFORMAT </w:instrText>
          </w:r>
          <w:r w:rsidRPr="0074575D">
            <w:rPr>
              <w:b/>
              <w:bCs/>
              <w:caps/>
              <w:noProof/>
              <w:sz w:val="18"/>
              <w:szCs w:val="18"/>
            </w:rPr>
            <w:fldChar w:fldCharType="separate"/>
          </w:r>
          <w:r w:rsidRPr="0074575D">
            <w:rPr>
              <w:b/>
              <w:bCs/>
              <w:caps/>
              <w:noProof/>
              <w:sz w:val="18"/>
              <w:szCs w:val="18"/>
            </w:rPr>
            <w:t>2</w:t>
          </w:r>
          <w:r w:rsidRPr="0074575D">
            <w:rPr>
              <w:b/>
              <w:bCs/>
              <w:caps/>
              <w:noProof/>
              <w:sz w:val="18"/>
              <w:szCs w:val="18"/>
            </w:rPr>
            <w:fldChar w:fldCharType="end"/>
          </w:r>
        </w:p>
      </w:tc>
    </w:tr>
  </w:tbl>
  <w:p w14:paraId="39548350" w14:textId="77777777" w:rsidR="00556DDB" w:rsidRDefault="00556DD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86"/>
      <w:gridCol w:w="4874"/>
    </w:tblGrid>
    <w:tr w:rsidR="006558E3" w14:paraId="1D016EB6" w14:textId="77777777">
      <w:trPr>
        <w:trHeight w:hRule="exact" w:val="115"/>
        <w:jc w:val="center"/>
      </w:trPr>
      <w:tc>
        <w:tcPr>
          <w:tcW w:w="4686" w:type="dxa"/>
          <w:shd w:val="clear" w:color="auto" w:fill="4F81BD" w:themeFill="accent1"/>
          <w:tcMar>
            <w:top w:w="0" w:type="dxa"/>
            <w:bottom w:w="0" w:type="dxa"/>
          </w:tcMar>
        </w:tcPr>
        <w:p w14:paraId="77DE8480" w14:textId="77777777" w:rsidR="006558E3" w:rsidRDefault="006558E3">
          <w:pPr>
            <w:pStyle w:val="Header"/>
            <w:rPr>
              <w:caps/>
              <w:sz w:val="18"/>
            </w:rPr>
          </w:pPr>
        </w:p>
      </w:tc>
      <w:tc>
        <w:tcPr>
          <w:tcW w:w="4674" w:type="dxa"/>
          <w:shd w:val="clear" w:color="auto" w:fill="4F81BD" w:themeFill="accent1"/>
          <w:tcMar>
            <w:top w:w="0" w:type="dxa"/>
            <w:bottom w:w="0" w:type="dxa"/>
          </w:tcMar>
        </w:tcPr>
        <w:p w14:paraId="2E8E1D29" w14:textId="77777777" w:rsidR="006558E3" w:rsidRDefault="006558E3">
          <w:pPr>
            <w:pStyle w:val="Header"/>
            <w:jc w:val="right"/>
            <w:rPr>
              <w:caps/>
              <w:sz w:val="18"/>
            </w:rPr>
          </w:pPr>
        </w:p>
      </w:tc>
    </w:tr>
    <w:tr w:rsidR="006558E3" w:rsidRPr="009104ED" w14:paraId="3BD7C5F0" w14:textId="77777777">
      <w:trPr>
        <w:jc w:val="center"/>
      </w:trPr>
      <w:tc>
        <w:tcPr>
          <w:tcW w:w="4686" w:type="dxa"/>
          <w:shd w:val="clear" w:color="auto" w:fill="auto"/>
          <w:vAlign w:val="center"/>
        </w:tcPr>
        <w:p w14:paraId="5B00F42A" w14:textId="77777777" w:rsidR="006558E3" w:rsidRPr="0074575D" w:rsidRDefault="006558E3" w:rsidP="00965B2C">
          <w:pPr>
            <w:spacing w:before="13"/>
            <w:ind w:left="20"/>
          </w:pPr>
          <w:r w:rsidRPr="0074575D">
            <w:t>ICB Governance Handbook</w:t>
          </w:r>
        </w:p>
        <w:p w14:paraId="4EA3C400" w14:textId="77777777" w:rsidR="006558E3" w:rsidRPr="0074575D" w:rsidRDefault="006558E3">
          <w:pPr>
            <w:pStyle w:val="Footer"/>
            <w:rPr>
              <w:caps/>
              <w:sz w:val="18"/>
              <w:szCs w:val="18"/>
            </w:rPr>
          </w:pPr>
        </w:p>
      </w:tc>
      <w:tc>
        <w:tcPr>
          <w:tcW w:w="4674" w:type="dxa"/>
          <w:shd w:val="clear" w:color="auto" w:fill="auto"/>
          <w:vAlign w:val="center"/>
        </w:tcPr>
        <w:p w14:paraId="7BA31E8B" w14:textId="77777777" w:rsidR="006558E3" w:rsidRPr="0074575D" w:rsidRDefault="006558E3">
          <w:pPr>
            <w:pStyle w:val="Footer"/>
            <w:jc w:val="right"/>
            <w:rPr>
              <w:b/>
              <w:bCs/>
              <w:caps/>
              <w:noProof/>
              <w:sz w:val="18"/>
              <w:szCs w:val="18"/>
            </w:rPr>
          </w:pPr>
          <w:r w:rsidRPr="0074575D">
            <w:rPr>
              <w:b/>
              <w:bCs/>
              <w:caps/>
              <w:noProof/>
              <w:sz w:val="18"/>
              <w:szCs w:val="18"/>
            </w:rPr>
            <w:fldChar w:fldCharType="begin"/>
          </w:r>
          <w:r w:rsidRPr="0074575D">
            <w:rPr>
              <w:b/>
              <w:bCs/>
              <w:caps/>
              <w:noProof/>
              <w:sz w:val="18"/>
              <w:szCs w:val="18"/>
            </w:rPr>
            <w:instrText xml:space="preserve"> PAGE   \* MERGEFORMAT </w:instrText>
          </w:r>
          <w:r w:rsidRPr="0074575D">
            <w:rPr>
              <w:b/>
              <w:bCs/>
              <w:caps/>
              <w:noProof/>
              <w:sz w:val="18"/>
              <w:szCs w:val="18"/>
            </w:rPr>
            <w:fldChar w:fldCharType="separate"/>
          </w:r>
          <w:r w:rsidRPr="0074575D">
            <w:rPr>
              <w:b/>
              <w:bCs/>
              <w:caps/>
              <w:noProof/>
              <w:sz w:val="18"/>
              <w:szCs w:val="18"/>
            </w:rPr>
            <w:t>2</w:t>
          </w:r>
          <w:r w:rsidRPr="0074575D">
            <w:rPr>
              <w:b/>
              <w:bCs/>
              <w:caps/>
              <w:noProof/>
              <w:sz w:val="18"/>
              <w:szCs w:val="18"/>
            </w:rPr>
            <w:fldChar w:fldCharType="end"/>
          </w:r>
        </w:p>
      </w:tc>
    </w:tr>
  </w:tbl>
  <w:p w14:paraId="5FD16360" w14:textId="77777777" w:rsidR="006558E3" w:rsidRDefault="006558E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90B87" w14:textId="77777777" w:rsidR="00FE1EB9" w:rsidRDefault="00FE1EB9">
      <w:r>
        <w:separator/>
      </w:r>
    </w:p>
  </w:footnote>
  <w:footnote w:type="continuationSeparator" w:id="0">
    <w:p w14:paraId="7E9C3662" w14:textId="77777777" w:rsidR="00FE1EB9" w:rsidRDefault="00FE1EB9">
      <w:r>
        <w:continuationSeparator/>
      </w:r>
    </w:p>
  </w:footnote>
  <w:footnote w:type="continuationNotice" w:id="1">
    <w:p w14:paraId="14CD1FA0" w14:textId="77777777" w:rsidR="00FE1EB9" w:rsidRDefault="00FE1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A5F5" w14:textId="77777777" w:rsidR="00556DDB" w:rsidRDefault="00556DD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43AE" w14:textId="66FD3379" w:rsidR="00556DDB" w:rsidRPr="00E73A9C" w:rsidRDefault="00556DDB" w:rsidP="00E73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01691"/>
    <w:multiLevelType w:val="hybridMultilevel"/>
    <w:tmpl w:val="F202CB26"/>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 w15:restartNumberingAfterBreak="0">
    <w:nsid w:val="0CB51DB8"/>
    <w:multiLevelType w:val="multilevel"/>
    <w:tmpl w:val="BEAC51BA"/>
    <w:lvl w:ilvl="0">
      <w:start w:val="4"/>
      <w:numFmt w:val="decimal"/>
      <w:lvlText w:val="%1"/>
      <w:lvlJc w:val="left"/>
      <w:pPr>
        <w:ind w:left="809" w:hanging="709"/>
      </w:pPr>
      <w:rPr>
        <w:rFonts w:hint="default"/>
        <w:lang w:val="en-GB" w:eastAsia="en-GB" w:bidi="en-GB"/>
      </w:rPr>
    </w:lvl>
    <w:lvl w:ilvl="1">
      <w:numFmt w:val="decimal"/>
      <w:lvlText w:val="%1.%2"/>
      <w:lvlJc w:val="left"/>
      <w:pPr>
        <w:ind w:left="809" w:hanging="709"/>
      </w:pPr>
      <w:rPr>
        <w:rFonts w:hint="default"/>
        <w:b/>
        <w:bCs/>
        <w:spacing w:val="-1"/>
        <w:w w:val="97"/>
        <w:lang w:val="en-GB" w:eastAsia="en-GB" w:bidi="en-GB"/>
      </w:rPr>
    </w:lvl>
    <w:lvl w:ilvl="2">
      <w:numFmt w:val="bullet"/>
      <w:lvlText w:val="•"/>
      <w:lvlJc w:val="left"/>
      <w:pPr>
        <w:ind w:left="2756" w:hanging="709"/>
      </w:pPr>
      <w:rPr>
        <w:rFonts w:hint="default"/>
        <w:lang w:val="en-GB" w:eastAsia="en-GB" w:bidi="en-GB"/>
      </w:rPr>
    </w:lvl>
    <w:lvl w:ilvl="3">
      <w:numFmt w:val="bullet"/>
      <w:lvlText w:val="•"/>
      <w:lvlJc w:val="left"/>
      <w:pPr>
        <w:ind w:left="3734" w:hanging="709"/>
      </w:pPr>
      <w:rPr>
        <w:rFonts w:hint="default"/>
        <w:lang w:val="en-GB" w:eastAsia="en-GB" w:bidi="en-GB"/>
      </w:rPr>
    </w:lvl>
    <w:lvl w:ilvl="4">
      <w:numFmt w:val="bullet"/>
      <w:lvlText w:val="•"/>
      <w:lvlJc w:val="left"/>
      <w:pPr>
        <w:ind w:left="4712" w:hanging="709"/>
      </w:pPr>
      <w:rPr>
        <w:rFonts w:hint="default"/>
        <w:lang w:val="en-GB" w:eastAsia="en-GB" w:bidi="en-GB"/>
      </w:rPr>
    </w:lvl>
    <w:lvl w:ilvl="5">
      <w:numFmt w:val="bullet"/>
      <w:lvlText w:val="•"/>
      <w:lvlJc w:val="left"/>
      <w:pPr>
        <w:ind w:left="5690" w:hanging="709"/>
      </w:pPr>
      <w:rPr>
        <w:rFonts w:hint="default"/>
        <w:lang w:val="en-GB" w:eastAsia="en-GB" w:bidi="en-GB"/>
      </w:rPr>
    </w:lvl>
    <w:lvl w:ilvl="6">
      <w:numFmt w:val="bullet"/>
      <w:lvlText w:val="•"/>
      <w:lvlJc w:val="left"/>
      <w:pPr>
        <w:ind w:left="6668" w:hanging="709"/>
      </w:pPr>
      <w:rPr>
        <w:rFonts w:hint="default"/>
        <w:lang w:val="en-GB" w:eastAsia="en-GB" w:bidi="en-GB"/>
      </w:rPr>
    </w:lvl>
    <w:lvl w:ilvl="7">
      <w:numFmt w:val="bullet"/>
      <w:lvlText w:val="•"/>
      <w:lvlJc w:val="left"/>
      <w:pPr>
        <w:ind w:left="7646" w:hanging="709"/>
      </w:pPr>
      <w:rPr>
        <w:rFonts w:hint="default"/>
        <w:lang w:val="en-GB" w:eastAsia="en-GB" w:bidi="en-GB"/>
      </w:rPr>
    </w:lvl>
    <w:lvl w:ilvl="8">
      <w:numFmt w:val="bullet"/>
      <w:lvlText w:val="•"/>
      <w:lvlJc w:val="left"/>
      <w:pPr>
        <w:ind w:left="8624" w:hanging="709"/>
      </w:pPr>
      <w:rPr>
        <w:rFonts w:hint="default"/>
        <w:lang w:val="en-GB" w:eastAsia="en-GB" w:bidi="en-GB"/>
      </w:rPr>
    </w:lvl>
  </w:abstractNum>
  <w:abstractNum w:abstractNumId="2" w15:restartNumberingAfterBreak="0">
    <w:nsid w:val="0E5167D4"/>
    <w:multiLevelType w:val="hybridMultilevel"/>
    <w:tmpl w:val="16E83C4A"/>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3" w15:restartNumberingAfterBreak="0">
    <w:nsid w:val="11AD55B0"/>
    <w:multiLevelType w:val="multilevel"/>
    <w:tmpl w:val="1D047244"/>
    <w:lvl w:ilvl="0">
      <w:start w:val="1"/>
      <w:numFmt w:val="decimal"/>
      <w:lvlText w:val="%1"/>
      <w:lvlJc w:val="left"/>
      <w:pPr>
        <w:ind w:left="761" w:hanging="661"/>
      </w:pPr>
      <w:rPr>
        <w:rFonts w:hint="default"/>
        <w:lang w:val="en-GB" w:eastAsia="en-GB" w:bidi="en-GB"/>
      </w:rPr>
    </w:lvl>
    <w:lvl w:ilvl="1">
      <w:numFmt w:val="decimal"/>
      <w:lvlText w:val="%1.%2"/>
      <w:lvlJc w:val="left"/>
      <w:pPr>
        <w:ind w:left="761" w:hanging="661"/>
        <w:jc w:val="right"/>
      </w:pPr>
      <w:rPr>
        <w:rFonts w:ascii="Arial" w:eastAsia="Arial" w:hAnsi="Arial" w:cs="Arial" w:hint="default"/>
        <w:spacing w:val="-2"/>
        <w:w w:val="99"/>
        <w:sz w:val="24"/>
        <w:szCs w:val="24"/>
        <w:lang w:val="en-GB" w:eastAsia="en-GB" w:bidi="en-GB"/>
      </w:rPr>
    </w:lvl>
    <w:lvl w:ilvl="2">
      <w:numFmt w:val="bullet"/>
      <w:lvlText w:val="•"/>
      <w:lvlJc w:val="left"/>
      <w:pPr>
        <w:ind w:left="2724" w:hanging="661"/>
      </w:pPr>
      <w:rPr>
        <w:rFonts w:hint="default"/>
        <w:lang w:val="en-GB" w:eastAsia="en-GB" w:bidi="en-GB"/>
      </w:rPr>
    </w:lvl>
    <w:lvl w:ilvl="3">
      <w:numFmt w:val="bullet"/>
      <w:lvlText w:val="•"/>
      <w:lvlJc w:val="left"/>
      <w:pPr>
        <w:ind w:left="3706" w:hanging="661"/>
      </w:pPr>
      <w:rPr>
        <w:rFonts w:hint="default"/>
        <w:lang w:val="en-GB" w:eastAsia="en-GB" w:bidi="en-GB"/>
      </w:rPr>
    </w:lvl>
    <w:lvl w:ilvl="4">
      <w:numFmt w:val="bullet"/>
      <w:lvlText w:val="•"/>
      <w:lvlJc w:val="left"/>
      <w:pPr>
        <w:ind w:left="4688" w:hanging="661"/>
      </w:pPr>
      <w:rPr>
        <w:rFonts w:hint="default"/>
        <w:lang w:val="en-GB" w:eastAsia="en-GB" w:bidi="en-GB"/>
      </w:rPr>
    </w:lvl>
    <w:lvl w:ilvl="5">
      <w:numFmt w:val="bullet"/>
      <w:lvlText w:val="•"/>
      <w:lvlJc w:val="left"/>
      <w:pPr>
        <w:ind w:left="5670" w:hanging="661"/>
      </w:pPr>
      <w:rPr>
        <w:rFonts w:hint="default"/>
        <w:lang w:val="en-GB" w:eastAsia="en-GB" w:bidi="en-GB"/>
      </w:rPr>
    </w:lvl>
    <w:lvl w:ilvl="6">
      <w:numFmt w:val="bullet"/>
      <w:lvlText w:val="•"/>
      <w:lvlJc w:val="left"/>
      <w:pPr>
        <w:ind w:left="6652" w:hanging="661"/>
      </w:pPr>
      <w:rPr>
        <w:rFonts w:hint="default"/>
        <w:lang w:val="en-GB" w:eastAsia="en-GB" w:bidi="en-GB"/>
      </w:rPr>
    </w:lvl>
    <w:lvl w:ilvl="7">
      <w:numFmt w:val="bullet"/>
      <w:lvlText w:val="•"/>
      <w:lvlJc w:val="left"/>
      <w:pPr>
        <w:ind w:left="7634" w:hanging="661"/>
      </w:pPr>
      <w:rPr>
        <w:rFonts w:hint="default"/>
        <w:lang w:val="en-GB" w:eastAsia="en-GB" w:bidi="en-GB"/>
      </w:rPr>
    </w:lvl>
    <w:lvl w:ilvl="8">
      <w:numFmt w:val="bullet"/>
      <w:lvlText w:val="•"/>
      <w:lvlJc w:val="left"/>
      <w:pPr>
        <w:ind w:left="8616" w:hanging="661"/>
      </w:pPr>
      <w:rPr>
        <w:rFonts w:hint="default"/>
        <w:lang w:val="en-GB" w:eastAsia="en-GB" w:bidi="en-GB"/>
      </w:rPr>
    </w:lvl>
  </w:abstractNum>
  <w:abstractNum w:abstractNumId="4" w15:restartNumberingAfterBreak="0">
    <w:nsid w:val="13707526"/>
    <w:multiLevelType w:val="multilevel"/>
    <w:tmpl w:val="1DFE19DA"/>
    <w:lvl w:ilvl="0">
      <w:start w:val="3"/>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1CE109F0"/>
    <w:multiLevelType w:val="hybridMultilevel"/>
    <w:tmpl w:val="CF4E79FE"/>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6" w15:restartNumberingAfterBreak="0">
    <w:nsid w:val="296F4BBD"/>
    <w:multiLevelType w:val="hybridMultilevel"/>
    <w:tmpl w:val="E368CE30"/>
    <w:lvl w:ilvl="0" w:tplc="F9BAFC4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1EA281E"/>
    <w:multiLevelType w:val="multilevel"/>
    <w:tmpl w:val="6F3822F8"/>
    <w:lvl w:ilvl="0">
      <w:start w:val="3"/>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8" w15:restartNumberingAfterBreak="0">
    <w:nsid w:val="3AB03BE0"/>
    <w:multiLevelType w:val="hybridMultilevel"/>
    <w:tmpl w:val="80B2C8C8"/>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9" w15:restartNumberingAfterBreak="0">
    <w:nsid w:val="416909DF"/>
    <w:multiLevelType w:val="hybridMultilevel"/>
    <w:tmpl w:val="9C14159A"/>
    <w:lvl w:ilvl="0" w:tplc="1968329A">
      <w:start w:val="1"/>
      <w:numFmt w:val="bullet"/>
      <w:lvlText w:val="•"/>
      <w:lvlJc w:val="left"/>
      <w:pPr>
        <w:tabs>
          <w:tab w:val="num" w:pos="720"/>
        </w:tabs>
        <w:ind w:left="720" w:hanging="360"/>
      </w:pPr>
      <w:rPr>
        <w:rFonts w:ascii="Arial" w:hAnsi="Arial" w:hint="default"/>
      </w:rPr>
    </w:lvl>
    <w:lvl w:ilvl="1" w:tplc="B4BC3936" w:tentative="1">
      <w:start w:val="1"/>
      <w:numFmt w:val="bullet"/>
      <w:lvlText w:val="•"/>
      <w:lvlJc w:val="left"/>
      <w:pPr>
        <w:tabs>
          <w:tab w:val="num" w:pos="1440"/>
        </w:tabs>
        <w:ind w:left="1440" w:hanging="360"/>
      </w:pPr>
      <w:rPr>
        <w:rFonts w:ascii="Arial" w:hAnsi="Arial" w:hint="default"/>
      </w:rPr>
    </w:lvl>
    <w:lvl w:ilvl="2" w:tplc="35A669D0" w:tentative="1">
      <w:start w:val="1"/>
      <w:numFmt w:val="bullet"/>
      <w:lvlText w:val="•"/>
      <w:lvlJc w:val="left"/>
      <w:pPr>
        <w:tabs>
          <w:tab w:val="num" w:pos="2160"/>
        </w:tabs>
        <w:ind w:left="2160" w:hanging="360"/>
      </w:pPr>
      <w:rPr>
        <w:rFonts w:ascii="Arial" w:hAnsi="Arial" w:hint="default"/>
      </w:rPr>
    </w:lvl>
    <w:lvl w:ilvl="3" w:tplc="D8000194" w:tentative="1">
      <w:start w:val="1"/>
      <w:numFmt w:val="bullet"/>
      <w:lvlText w:val="•"/>
      <w:lvlJc w:val="left"/>
      <w:pPr>
        <w:tabs>
          <w:tab w:val="num" w:pos="2880"/>
        </w:tabs>
        <w:ind w:left="2880" w:hanging="360"/>
      </w:pPr>
      <w:rPr>
        <w:rFonts w:ascii="Arial" w:hAnsi="Arial" w:hint="default"/>
      </w:rPr>
    </w:lvl>
    <w:lvl w:ilvl="4" w:tplc="FC249BC4" w:tentative="1">
      <w:start w:val="1"/>
      <w:numFmt w:val="bullet"/>
      <w:lvlText w:val="•"/>
      <w:lvlJc w:val="left"/>
      <w:pPr>
        <w:tabs>
          <w:tab w:val="num" w:pos="3600"/>
        </w:tabs>
        <w:ind w:left="3600" w:hanging="360"/>
      </w:pPr>
      <w:rPr>
        <w:rFonts w:ascii="Arial" w:hAnsi="Arial" w:hint="default"/>
      </w:rPr>
    </w:lvl>
    <w:lvl w:ilvl="5" w:tplc="2690D30A" w:tentative="1">
      <w:start w:val="1"/>
      <w:numFmt w:val="bullet"/>
      <w:lvlText w:val="•"/>
      <w:lvlJc w:val="left"/>
      <w:pPr>
        <w:tabs>
          <w:tab w:val="num" w:pos="4320"/>
        </w:tabs>
        <w:ind w:left="4320" w:hanging="360"/>
      </w:pPr>
      <w:rPr>
        <w:rFonts w:ascii="Arial" w:hAnsi="Arial" w:hint="default"/>
      </w:rPr>
    </w:lvl>
    <w:lvl w:ilvl="6" w:tplc="D99A705E" w:tentative="1">
      <w:start w:val="1"/>
      <w:numFmt w:val="bullet"/>
      <w:lvlText w:val="•"/>
      <w:lvlJc w:val="left"/>
      <w:pPr>
        <w:tabs>
          <w:tab w:val="num" w:pos="5040"/>
        </w:tabs>
        <w:ind w:left="5040" w:hanging="360"/>
      </w:pPr>
      <w:rPr>
        <w:rFonts w:ascii="Arial" w:hAnsi="Arial" w:hint="default"/>
      </w:rPr>
    </w:lvl>
    <w:lvl w:ilvl="7" w:tplc="1ECCED86" w:tentative="1">
      <w:start w:val="1"/>
      <w:numFmt w:val="bullet"/>
      <w:lvlText w:val="•"/>
      <w:lvlJc w:val="left"/>
      <w:pPr>
        <w:tabs>
          <w:tab w:val="num" w:pos="5760"/>
        </w:tabs>
        <w:ind w:left="5760" w:hanging="360"/>
      </w:pPr>
      <w:rPr>
        <w:rFonts w:ascii="Arial" w:hAnsi="Arial" w:hint="default"/>
      </w:rPr>
    </w:lvl>
    <w:lvl w:ilvl="8" w:tplc="F0B873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9069AD"/>
    <w:multiLevelType w:val="multilevel"/>
    <w:tmpl w:val="A5961714"/>
    <w:lvl w:ilvl="0">
      <w:start w:val="4"/>
      <w:numFmt w:val="decimal"/>
      <w:lvlText w:val="%1"/>
      <w:lvlJc w:val="left"/>
      <w:pPr>
        <w:ind w:left="761" w:hanging="661"/>
      </w:pPr>
      <w:rPr>
        <w:rFonts w:hint="default"/>
        <w:lang w:val="en-GB" w:eastAsia="en-GB" w:bidi="en-GB"/>
      </w:rPr>
    </w:lvl>
    <w:lvl w:ilvl="1">
      <w:numFmt w:val="decimal"/>
      <w:lvlText w:val="%1.%2"/>
      <w:lvlJc w:val="left"/>
      <w:pPr>
        <w:ind w:left="761" w:hanging="661"/>
        <w:jc w:val="right"/>
      </w:pPr>
      <w:rPr>
        <w:rFonts w:ascii="Arial" w:eastAsia="Arial" w:hAnsi="Arial" w:cs="Arial" w:hint="default"/>
        <w:spacing w:val="-3"/>
        <w:w w:val="97"/>
        <w:sz w:val="24"/>
        <w:szCs w:val="24"/>
        <w:lang w:val="en-GB" w:eastAsia="en-GB" w:bidi="en-GB"/>
      </w:rPr>
    </w:lvl>
    <w:lvl w:ilvl="2">
      <w:numFmt w:val="bullet"/>
      <w:lvlText w:val="•"/>
      <w:lvlJc w:val="left"/>
      <w:pPr>
        <w:ind w:left="2724" w:hanging="661"/>
      </w:pPr>
      <w:rPr>
        <w:rFonts w:hint="default"/>
        <w:lang w:val="en-GB" w:eastAsia="en-GB" w:bidi="en-GB"/>
      </w:rPr>
    </w:lvl>
    <w:lvl w:ilvl="3">
      <w:numFmt w:val="bullet"/>
      <w:lvlText w:val="•"/>
      <w:lvlJc w:val="left"/>
      <w:pPr>
        <w:ind w:left="3706" w:hanging="661"/>
      </w:pPr>
      <w:rPr>
        <w:rFonts w:hint="default"/>
        <w:lang w:val="en-GB" w:eastAsia="en-GB" w:bidi="en-GB"/>
      </w:rPr>
    </w:lvl>
    <w:lvl w:ilvl="4">
      <w:numFmt w:val="bullet"/>
      <w:lvlText w:val="•"/>
      <w:lvlJc w:val="left"/>
      <w:pPr>
        <w:ind w:left="4688" w:hanging="661"/>
      </w:pPr>
      <w:rPr>
        <w:rFonts w:hint="default"/>
        <w:lang w:val="en-GB" w:eastAsia="en-GB" w:bidi="en-GB"/>
      </w:rPr>
    </w:lvl>
    <w:lvl w:ilvl="5">
      <w:numFmt w:val="bullet"/>
      <w:lvlText w:val="•"/>
      <w:lvlJc w:val="left"/>
      <w:pPr>
        <w:ind w:left="5670" w:hanging="661"/>
      </w:pPr>
      <w:rPr>
        <w:rFonts w:hint="default"/>
        <w:lang w:val="en-GB" w:eastAsia="en-GB" w:bidi="en-GB"/>
      </w:rPr>
    </w:lvl>
    <w:lvl w:ilvl="6">
      <w:numFmt w:val="bullet"/>
      <w:lvlText w:val="•"/>
      <w:lvlJc w:val="left"/>
      <w:pPr>
        <w:ind w:left="6652" w:hanging="661"/>
      </w:pPr>
      <w:rPr>
        <w:rFonts w:hint="default"/>
        <w:lang w:val="en-GB" w:eastAsia="en-GB" w:bidi="en-GB"/>
      </w:rPr>
    </w:lvl>
    <w:lvl w:ilvl="7">
      <w:numFmt w:val="bullet"/>
      <w:lvlText w:val="•"/>
      <w:lvlJc w:val="left"/>
      <w:pPr>
        <w:ind w:left="7634" w:hanging="661"/>
      </w:pPr>
      <w:rPr>
        <w:rFonts w:hint="default"/>
        <w:lang w:val="en-GB" w:eastAsia="en-GB" w:bidi="en-GB"/>
      </w:rPr>
    </w:lvl>
    <w:lvl w:ilvl="8">
      <w:numFmt w:val="bullet"/>
      <w:lvlText w:val="•"/>
      <w:lvlJc w:val="left"/>
      <w:pPr>
        <w:ind w:left="8616" w:hanging="661"/>
      </w:pPr>
      <w:rPr>
        <w:rFonts w:hint="default"/>
        <w:lang w:val="en-GB" w:eastAsia="en-GB" w:bidi="en-GB"/>
      </w:rPr>
    </w:lvl>
  </w:abstractNum>
  <w:abstractNum w:abstractNumId="11" w15:restartNumberingAfterBreak="0">
    <w:nsid w:val="49B85A95"/>
    <w:multiLevelType w:val="hybridMultilevel"/>
    <w:tmpl w:val="B100D0B2"/>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2" w15:restartNumberingAfterBreak="0">
    <w:nsid w:val="49EC3610"/>
    <w:multiLevelType w:val="hybridMultilevel"/>
    <w:tmpl w:val="9D5425FE"/>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3" w15:restartNumberingAfterBreak="0">
    <w:nsid w:val="4D2A0083"/>
    <w:multiLevelType w:val="hybridMultilevel"/>
    <w:tmpl w:val="BC0EE044"/>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4" w15:restartNumberingAfterBreak="0">
    <w:nsid w:val="4E363E75"/>
    <w:multiLevelType w:val="multilevel"/>
    <w:tmpl w:val="A9A6C518"/>
    <w:lvl w:ilvl="0">
      <w:start w:val="3"/>
      <w:numFmt w:val="decimal"/>
      <w:lvlText w:val="%1"/>
      <w:lvlJc w:val="left"/>
      <w:pPr>
        <w:ind w:left="821" w:hanging="721"/>
      </w:pPr>
      <w:rPr>
        <w:rFonts w:hint="default"/>
        <w:lang w:val="en-GB" w:eastAsia="en-GB" w:bidi="en-GB"/>
      </w:rPr>
    </w:lvl>
    <w:lvl w:ilvl="1">
      <w:numFmt w:val="decimal"/>
      <w:lvlText w:val="%1.%2"/>
      <w:lvlJc w:val="left"/>
      <w:pPr>
        <w:ind w:left="821" w:hanging="721"/>
      </w:pPr>
      <w:rPr>
        <w:rFonts w:ascii="Arial" w:eastAsia="Arial" w:hAnsi="Arial" w:cs="Arial" w:hint="default"/>
        <w:b/>
        <w:bCs/>
        <w:spacing w:val="-1"/>
        <w:w w:val="99"/>
        <w:sz w:val="24"/>
        <w:szCs w:val="24"/>
        <w:lang w:val="en-GB" w:eastAsia="en-GB" w:bidi="en-GB"/>
      </w:rPr>
    </w:lvl>
    <w:lvl w:ilvl="2">
      <w:numFmt w:val="bullet"/>
      <w:lvlText w:val=""/>
      <w:lvlJc w:val="left"/>
      <w:pPr>
        <w:ind w:left="1181" w:hanging="360"/>
      </w:pPr>
      <w:rPr>
        <w:rFonts w:ascii="Symbol" w:eastAsia="Symbol" w:hAnsi="Symbol" w:cs="Symbol" w:hint="default"/>
        <w:w w:val="100"/>
        <w:sz w:val="24"/>
        <w:szCs w:val="24"/>
        <w:lang w:val="en-GB" w:eastAsia="en-GB" w:bidi="en-GB"/>
      </w:rPr>
    </w:lvl>
    <w:lvl w:ilvl="3">
      <w:numFmt w:val="bullet"/>
      <w:lvlText w:val="•"/>
      <w:lvlJc w:val="left"/>
      <w:pPr>
        <w:ind w:left="3269" w:hanging="360"/>
      </w:pPr>
      <w:rPr>
        <w:rFonts w:hint="default"/>
        <w:lang w:val="en-GB" w:eastAsia="en-GB" w:bidi="en-GB"/>
      </w:rPr>
    </w:lvl>
    <w:lvl w:ilvl="4">
      <w:numFmt w:val="bullet"/>
      <w:lvlText w:val="•"/>
      <w:lvlJc w:val="left"/>
      <w:pPr>
        <w:ind w:left="4313" w:hanging="360"/>
      </w:pPr>
      <w:rPr>
        <w:rFonts w:hint="default"/>
        <w:lang w:val="en-GB" w:eastAsia="en-GB" w:bidi="en-GB"/>
      </w:rPr>
    </w:lvl>
    <w:lvl w:ilvl="5">
      <w:numFmt w:val="bullet"/>
      <w:lvlText w:val="•"/>
      <w:lvlJc w:val="left"/>
      <w:pPr>
        <w:ind w:left="5358" w:hanging="360"/>
      </w:pPr>
      <w:rPr>
        <w:rFonts w:hint="default"/>
        <w:lang w:val="en-GB" w:eastAsia="en-GB" w:bidi="en-GB"/>
      </w:rPr>
    </w:lvl>
    <w:lvl w:ilvl="6">
      <w:numFmt w:val="bullet"/>
      <w:lvlText w:val="•"/>
      <w:lvlJc w:val="left"/>
      <w:pPr>
        <w:ind w:left="6402" w:hanging="360"/>
      </w:pPr>
      <w:rPr>
        <w:rFonts w:hint="default"/>
        <w:lang w:val="en-GB" w:eastAsia="en-GB" w:bidi="en-GB"/>
      </w:rPr>
    </w:lvl>
    <w:lvl w:ilvl="7">
      <w:numFmt w:val="bullet"/>
      <w:lvlText w:val="•"/>
      <w:lvlJc w:val="left"/>
      <w:pPr>
        <w:ind w:left="7447" w:hanging="360"/>
      </w:pPr>
      <w:rPr>
        <w:rFonts w:hint="default"/>
        <w:lang w:val="en-GB" w:eastAsia="en-GB" w:bidi="en-GB"/>
      </w:rPr>
    </w:lvl>
    <w:lvl w:ilvl="8">
      <w:numFmt w:val="bullet"/>
      <w:lvlText w:val="•"/>
      <w:lvlJc w:val="left"/>
      <w:pPr>
        <w:ind w:left="8491" w:hanging="360"/>
      </w:pPr>
      <w:rPr>
        <w:rFonts w:hint="default"/>
        <w:lang w:val="en-GB" w:eastAsia="en-GB" w:bidi="en-GB"/>
      </w:rPr>
    </w:lvl>
  </w:abstractNum>
  <w:abstractNum w:abstractNumId="15" w15:restartNumberingAfterBreak="0">
    <w:nsid w:val="57994C9D"/>
    <w:multiLevelType w:val="multilevel"/>
    <w:tmpl w:val="AE4C21AC"/>
    <w:lvl w:ilvl="0">
      <w:start w:val="3"/>
      <w:numFmt w:val="decimal"/>
      <w:lvlText w:val="%1"/>
      <w:lvlJc w:val="left"/>
      <w:pPr>
        <w:ind w:left="761" w:hanging="661"/>
      </w:pPr>
      <w:rPr>
        <w:rFonts w:hint="default"/>
        <w:lang w:val="en-GB" w:eastAsia="en-GB" w:bidi="en-GB"/>
      </w:rPr>
    </w:lvl>
    <w:lvl w:ilvl="1">
      <w:numFmt w:val="decimal"/>
      <w:lvlText w:val="%1.%2"/>
      <w:lvlJc w:val="left"/>
      <w:pPr>
        <w:ind w:left="761" w:hanging="661"/>
        <w:jc w:val="right"/>
      </w:pPr>
      <w:rPr>
        <w:rFonts w:ascii="Arial" w:eastAsia="Arial" w:hAnsi="Arial" w:cs="Arial" w:hint="default"/>
        <w:spacing w:val="-3"/>
        <w:w w:val="99"/>
        <w:sz w:val="24"/>
        <w:szCs w:val="24"/>
        <w:lang w:val="en-GB" w:eastAsia="en-GB" w:bidi="en-GB"/>
      </w:rPr>
    </w:lvl>
    <w:lvl w:ilvl="2">
      <w:numFmt w:val="bullet"/>
      <w:lvlText w:val="•"/>
      <w:lvlJc w:val="left"/>
      <w:pPr>
        <w:ind w:left="2724" w:hanging="661"/>
      </w:pPr>
      <w:rPr>
        <w:rFonts w:hint="default"/>
        <w:lang w:val="en-GB" w:eastAsia="en-GB" w:bidi="en-GB"/>
      </w:rPr>
    </w:lvl>
    <w:lvl w:ilvl="3">
      <w:numFmt w:val="bullet"/>
      <w:lvlText w:val="•"/>
      <w:lvlJc w:val="left"/>
      <w:pPr>
        <w:ind w:left="3706" w:hanging="661"/>
      </w:pPr>
      <w:rPr>
        <w:rFonts w:hint="default"/>
        <w:lang w:val="en-GB" w:eastAsia="en-GB" w:bidi="en-GB"/>
      </w:rPr>
    </w:lvl>
    <w:lvl w:ilvl="4">
      <w:numFmt w:val="bullet"/>
      <w:lvlText w:val="•"/>
      <w:lvlJc w:val="left"/>
      <w:pPr>
        <w:ind w:left="4688" w:hanging="661"/>
      </w:pPr>
      <w:rPr>
        <w:rFonts w:hint="default"/>
        <w:lang w:val="en-GB" w:eastAsia="en-GB" w:bidi="en-GB"/>
      </w:rPr>
    </w:lvl>
    <w:lvl w:ilvl="5">
      <w:numFmt w:val="bullet"/>
      <w:lvlText w:val="•"/>
      <w:lvlJc w:val="left"/>
      <w:pPr>
        <w:ind w:left="5670" w:hanging="661"/>
      </w:pPr>
      <w:rPr>
        <w:rFonts w:hint="default"/>
        <w:lang w:val="en-GB" w:eastAsia="en-GB" w:bidi="en-GB"/>
      </w:rPr>
    </w:lvl>
    <w:lvl w:ilvl="6">
      <w:numFmt w:val="bullet"/>
      <w:lvlText w:val="•"/>
      <w:lvlJc w:val="left"/>
      <w:pPr>
        <w:ind w:left="6652" w:hanging="661"/>
      </w:pPr>
      <w:rPr>
        <w:rFonts w:hint="default"/>
        <w:lang w:val="en-GB" w:eastAsia="en-GB" w:bidi="en-GB"/>
      </w:rPr>
    </w:lvl>
    <w:lvl w:ilvl="7">
      <w:numFmt w:val="bullet"/>
      <w:lvlText w:val="•"/>
      <w:lvlJc w:val="left"/>
      <w:pPr>
        <w:ind w:left="7634" w:hanging="661"/>
      </w:pPr>
      <w:rPr>
        <w:rFonts w:hint="default"/>
        <w:lang w:val="en-GB" w:eastAsia="en-GB" w:bidi="en-GB"/>
      </w:rPr>
    </w:lvl>
    <w:lvl w:ilvl="8">
      <w:numFmt w:val="bullet"/>
      <w:lvlText w:val="•"/>
      <w:lvlJc w:val="left"/>
      <w:pPr>
        <w:ind w:left="8616" w:hanging="661"/>
      </w:pPr>
      <w:rPr>
        <w:rFonts w:hint="default"/>
        <w:lang w:val="en-GB" w:eastAsia="en-GB" w:bidi="en-GB"/>
      </w:rPr>
    </w:lvl>
  </w:abstractNum>
  <w:abstractNum w:abstractNumId="16" w15:restartNumberingAfterBreak="0">
    <w:nsid w:val="5DA67C13"/>
    <w:multiLevelType w:val="hybridMultilevel"/>
    <w:tmpl w:val="93DA99CE"/>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7" w15:restartNumberingAfterBreak="0">
    <w:nsid w:val="668D7194"/>
    <w:multiLevelType w:val="hybridMultilevel"/>
    <w:tmpl w:val="88AE196E"/>
    <w:lvl w:ilvl="0" w:tplc="B65C7A3C">
      <w:start w:val="1"/>
      <w:numFmt w:val="upperLetter"/>
      <w:lvlText w:val="%1."/>
      <w:lvlJc w:val="left"/>
      <w:pPr>
        <w:ind w:left="497" w:hanging="360"/>
      </w:pPr>
      <w:rPr>
        <w:rFonts w:ascii="Arial" w:eastAsia="Arial" w:hAnsi="Arial" w:cs="Arial" w:hint="default"/>
        <w:b/>
        <w:bCs/>
        <w:spacing w:val="-13"/>
        <w:w w:val="99"/>
        <w:sz w:val="24"/>
        <w:szCs w:val="24"/>
        <w:lang w:val="en-GB" w:eastAsia="en-GB" w:bidi="en-GB"/>
      </w:rPr>
    </w:lvl>
    <w:lvl w:ilvl="1" w:tplc="E374654E">
      <w:numFmt w:val="bullet"/>
      <w:lvlText w:val="•"/>
      <w:lvlJc w:val="left"/>
      <w:pPr>
        <w:ind w:left="1419" w:hanging="360"/>
      </w:pPr>
      <w:rPr>
        <w:rFonts w:hint="default"/>
        <w:lang w:val="en-GB" w:eastAsia="en-GB" w:bidi="en-GB"/>
      </w:rPr>
    </w:lvl>
    <w:lvl w:ilvl="2" w:tplc="BE66CBE6">
      <w:numFmt w:val="bullet"/>
      <w:lvlText w:val="•"/>
      <w:lvlJc w:val="left"/>
      <w:pPr>
        <w:ind w:left="2338" w:hanging="360"/>
      </w:pPr>
      <w:rPr>
        <w:rFonts w:hint="default"/>
        <w:lang w:val="en-GB" w:eastAsia="en-GB" w:bidi="en-GB"/>
      </w:rPr>
    </w:lvl>
    <w:lvl w:ilvl="3" w:tplc="F1946C62">
      <w:numFmt w:val="bullet"/>
      <w:lvlText w:val="•"/>
      <w:lvlJc w:val="left"/>
      <w:pPr>
        <w:ind w:left="3257" w:hanging="360"/>
      </w:pPr>
      <w:rPr>
        <w:rFonts w:hint="default"/>
        <w:lang w:val="en-GB" w:eastAsia="en-GB" w:bidi="en-GB"/>
      </w:rPr>
    </w:lvl>
    <w:lvl w:ilvl="4" w:tplc="5B3C8C68">
      <w:numFmt w:val="bullet"/>
      <w:lvlText w:val="•"/>
      <w:lvlJc w:val="left"/>
      <w:pPr>
        <w:ind w:left="4176" w:hanging="360"/>
      </w:pPr>
      <w:rPr>
        <w:rFonts w:hint="default"/>
        <w:lang w:val="en-GB" w:eastAsia="en-GB" w:bidi="en-GB"/>
      </w:rPr>
    </w:lvl>
    <w:lvl w:ilvl="5" w:tplc="06380020">
      <w:numFmt w:val="bullet"/>
      <w:lvlText w:val="•"/>
      <w:lvlJc w:val="left"/>
      <w:pPr>
        <w:ind w:left="5095" w:hanging="360"/>
      </w:pPr>
      <w:rPr>
        <w:rFonts w:hint="default"/>
        <w:lang w:val="en-GB" w:eastAsia="en-GB" w:bidi="en-GB"/>
      </w:rPr>
    </w:lvl>
    <w:lvl w:ilvl="6" w:tplc="125CD204">
      <w:numFmt w:val="bullet"/>
      <w:lvlText w:val="•"/>
      <w:lvlJc w:val="left"/>
      <w:pPr>
        <w:ind w:left="6014" w:hanging="360"/>
      </w:pPr>
      <w:rPr>
        <w:rFonts w:hint="default"/>
        <w:lang w:val="en-GB" w:eastAsia="en-GB" w:bidi="en-GB"/>
      </w:rPr>
    </w:lvl>
    <w:lvl w:ilvl="7" w:tplc="87180D5E">
      <w:numFmt w:val="bullet"/>
      <w:lvlText w:val="•"/>
      <w:lvlJc w:val="left"/>
      <w:pPr>
        <w:ind w:left="6933" w:hanging="360"/>
      </w:pPr>
      <w:rPr>
        <w:rFonts w:hint="default"/>
        <w:lang w:val="en-GB" w:eastAsia="en-GB" w:bidi="en-GB"/>
      </w:rPr>
    </w:lvl>
    <w:lvl w:ilvl="8" w:tplc="4EEAE706">
      <w:numFmt w:val="bullet"/>
      <w:lvlText w:val="•"/>
      <w:lvlJc w:val="left"/>
      <w:pPr>
        <w:ind w:left="7852" w:hanging="360"/>
      </w:pPr>
      <w:rPr>
        <w:rFonts w:hint="default"/>
        <w:lang w:val="en-GB" w:eastAsia="en-GB" w:bidi="en-GB"/>
      </w:rPr>
    </w:lvl>
  </w:abstractNum>
  <w:abstractNum w:abstractNumId="18" w15:restartNumberingAfterBreak="0">
    <w:nsid w:val="69BD4EDD"/>
    <w:multiLevelType w:val="hybridMultilevel"/>
    <w:tmpl w:val="87788B98"/>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9" w15:restartNumberingAfterBreak="0">
    <w:nsid w:val="718959BD"/>
    <w:multiLevelType w:val="hybridMultilevel"/>
    <w:tmpl w:val="E190D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B30313E"/>
    <w:multiLevelType w:val="multilevel"/>
    <w:tmpl w:val="94C245CC"/>
    <w:lvl w:ilvl="0">
      <w:start w:val="1"/>
      <w:numFmt w:val="decimal"/>
      <w:lvlText w:val="%1"/>
      <w:lvlJc w:val="left"/>
      <w:pPr>
        <w:ind w:left="821" w:hanging="721"/>
      </w:pPr>
      <w:rPr>
        <w:rFonts w:hint="default"/>
        <w:lang w:val="en-GB" w:eastAsia="en-GB" w:bidi="en-GB"/>
      </w:rPr>
    </w:lvl>
    <w:lvl w:ilvl="1">
      <w:numFmt w:val="decimal"/>
      <w:lvlText w:val="%1.%2"/>
      <w:lvlJc w:val="left"/>
      <w:pPr>
        <w:ind w:left="821" w:hanging="721"/>
      </w:pPr>
      <w:rPr>
        <w:rFonts w:ascii="Arial" w:eastAsia="Arial" w:hAnsi="Arial" w:cs="Arial" w:hint="default"/>
        <w:b/>
        <w:bCs/>
        <w:spacing w:val="-2"/>
        <w:w w:val="99"/>
        <w:sz w:val="24"/>
        <w:szCs w:val="24"/>
        <w:lang w:val="en-GB" w:eastAsia="en-GB" w:bidi="en-GB"/>
      </w:rPr>
    </w:lvl>
    <w:lvl w:ilvl="2">
      <w:numFmt w:val="bullet"/>
      <w:lvlText w:val=""/>
      <w:lvlJc w:val="left"/>
      <w:pPr>
        <w:ind w:left="1181" w:hanging="360"/>
      </w:pPr>
      <w:rPr>
        <w:rFonts w:ascii="Symbol" w:eastAsia="Symbol" w:hAnsi="Symbol" w:cs="Symbol" w:hint="default"/>
        <w:w w:val="100"/>
        <w:sz w:val="24"/>
        <w:szCs w:val="24"/>
        <w:lang w:val="en-GB" w:eastAsia="en-GB" w:bidi="en-GB"/>
      </w:rPr>
    </w:lvl>
    <w:lvl w:ilvl="3">
      <w:numFmt w:val="bullet"/>
      <w:lvlText w:val="•"/>
      <w:lvlJc w:val="left"/>
      <w:pPr>
        <w:ind w:left="3269" w:hanging="360"/>
      </w:pPr>
      <w:rPr>
        <w:rFonts w:hint="default"/>
        <w:lang w:val="en-GB" w:eastAsia="en-GB" w:bidi="en-GB"/>
      </w:rPr>
    </w:lvl>
    <w:lvl w:ilvl="4">
      <w:numFmt w:val="bullet"/>
      <w:lvlText w:val="•"/>
      <w:lvlJc w:val="left"/>
      <w:pPr>
        <w:ind w:left="4313" w:hanging="360"/>
      </w:pPr>
      <w:rPr>
        <w:rFonts w:hint="default"/>
        <w:lang w:val="en-GB" w:eastAsia="en-GB" w:bidi="en-GB"/>
      </w:rPr>
    </w:lvl>
    <w:lvl w:ilvl="5">
      <w:numFmt w:val="bullet"/>
      <w:lvlText w:val="•"/>
      <w:lvlJc w:val="left"/>
      <w:pPr>
        <w:ind w:left="5358" w:hanging="360"/>
      </w:pPr>
      <w:rPr>
        <w:rFonts w:hint="default"/>
        <w:lang w:val="en-GB" w:eastAsia="en-GB" w:bidi="en-GB"/>
      </w:rPr>
    </w:lvl>
    <w:lvl w:ilvl="6">
      <w:numFmt w:val="bullet"/>
      <w:lvlText w:val="•"/>
      <w:lvlJc w:val="left"/>
      <w:pPr>
        <w:ind w:left="6402" w:hanging="360"/>
      </w:pPr>
      <w:rPr>
        <w:rFonts w:hint="default"/>
        <w:lang w:val="en-GB" w:eastAsia="en-GB" w:bidi="en-GB"/>
      </w:rPr>
    </w:lvl>
    <w:lvl w:ilvl="7">
      <w:numFmt w:val="bullet"/>
      <w:lvlText w:val="•"/>
      <w:lvlJc w:val="left"/>
      <w:pPr>
        <w:ind w:left="7447" w:hanging="360"/>
      </w:pPr>
      <w:rPr>
        <w:rFonts w:hint="default"/>
        <w:lang w:val="en-GB" w:eastAsia="en-GB" w:bidi="en-GB"/>
      </w:rPr>
    </w:lvl>
    <w:lvl w:ilvl="8">
      <w:numFmt w:val="bullet"/>
      <w:lvlText w:val="•"/>
      <w:lvlJc w:val="left"/>
      <w:pPr>
        <w:ind w:left="8491" w:hanging="360"/>
      </w:pPr>
      <w:rPr>
        <w:rFonts w:hint="default"/>
        <w:lang w:val="en-GB" w:eastAsia="en-GB" w:bidi="en-GB"/>
      </w:rPr>
    </w:lvl>
  </w:abstractNum>
  <w:num w:numId="1" w16cid:durableId="1919290208">
    <w:abstractNumId w:val="17"/>
  </w:num>
  <w:num w:numId="2" w16cid:durableId="372196949">
    <w:abstractNumId w:val="1"/>
  </w:num>
  <w:num w:numId="3" w16cid:durableId="490752334">
    <w:abstractNumId w:val="14"/>
  </w:num>
  <w:num w:numId="4" w16cid:durableId="1669866754">
    <w:abstractNumId w:val="20"/>
  </w:num>
  <w:num w:numId="5" w16cid:durableId="2014649112">
    <w:abstractNumId w:val="10"/>
  </w:num>
  <w:num w:numId="6" w16cid:durableId="1808007987">
    <w:abstractNumId w:val="15"/>
  </w:num>
  <w:num w:numId="7" w16cid:durableId="814571453">
    <w:abstractNumId w:val="3"/>
  </w:num>
  <w:num w:numId="8" w16cid:durableId="176233940">
    <w:abstractNumId w:val="6"/>
  </w:num>
  <w:num w:numId="9" w16cid:durableId="417484004">
    <w:abstractNumId w:val="5"/>
  </w:num>
  <w:num w:numId="10" w16cid:durableId="1629584303">
    <w:abstractNumId w:val="11"/>
  </w:num>
  <w:num w:numId="11" w16cid:durableId="773213131">
    <w:abstractNumId w:val="16"/>
  </w:num>
  <w:num w:numId="12" w16cid:durableId="1833987347">
    <w:abstractNumId w:val="12"/>
  </w:num>
  <w:num w:numId="13" w16cid:durableId="1379279582">
    <w:abstractNumId w:val="18"/>
  </w:num>
  <w:num w:numId="14" w16cid:durableId="340546388">
    <w:abstractNumId w:val="0"/>
  </w:num>
  <w:num w:numId="15" w16cid:durableId="1829204215">
    <w:abstractNumId w:val="2"/>
  </w:num>
  <w:num w:numId="16" w16cid:durableId="1124275020">
    <w:abstractNumId w:val="19"/>
  </w:num>
  <w:num w:numId="17" w16cid:durableId="376666805">
    <w:abstractNumId w:val="13"/>
  </w:num>
  <w:num w:numId="18" w16cid:durableId="972253286">
    <w:abstractNumId w:val="9"/>
  </w:num>
  <w:num w:numId="19" w16cid:durableId="1086422656">
    <w:abstractNumId w:val="8"/>
  </w:num>
  <w:num w:numId="20" w16cid:durableId="595939088">
    <w:abstractNumId w:val="4"/>
  </w:num>
  <w:num w:numId="21" w16cid:durableId="67465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eEBMHMRGI3KEoYkIY9Z5+hifMnAHqJW9rqpeIQhPN2L5nuCtiJ2kx4QVlQIH6544Th79U1I/fkWQ/oEV3Q0PlA==" w:salt="n4qgySL6w+ZswYZZF8+qf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DB"/>
    <w:rsid w:val="00005B84"/>
    <w:rsid w:val="00010BF9"/>
    <w:rsid w:val="00012731"/>
    <w:rsid w:val="0003233D"/>
    <w:rsid w:val="00034A20"/>
    <w:rsid w:val="00040189"/>
    <w:rsid w:val="000406C6"/>
    <w:rsid w:val="00040839"/>
    <w:rsid w:val="00063B64"/>
    <w:rsid w:val="00070495"/>
    <w:rsid w:val="000731BF"/>
    <w:rsid w:val="00077EEB"/>
    <w:rsid w:val="000804D1"/>
    <w:rsid w:val="0008431F"/>
    <w:rsid w:val="00085C39"/>
    <w:rsid w:val="00086410"/>
    <w:rsid w:val="000922B9"/>
    <w:rsid w:val="000944A1"/>
    <w:rsid w:val="000968F2"/>
    <w:rsid w:val="000A1488"/>
    <w:rsid w:val="000A34A8"/>
    <w:rsid w:val="000A665E"/>
    <w:rsid w:val="000B29B8"/>
    <w:rsid w:val="000C1503"/>
    <w:rsid w:val="000C247A"/>
    <w:rsid w:val="000C40B4"/>
    <w:rsid w:val="000C4221"/>
    <w:rsid w:val="000D0BD9"/>
    <w:rsid w:val="000D6228"/>
    <w:rsid w:val="000E27EA"/>
    <w:rsid w:val="000E3B47"/>
    <w:rsid w:val="000E5660"/>
    <w:rsid w:val="000E5983"/>
    <w:rsid w:val="000E68FA"/>
    <w:rsid w:val="00110D0E"/>
    <w:rsid w:val="00120A1D"/>
    <w:rsid w:val="00122B37"/>
    <w:rsid w:val="001312AF"/>
    <w:rsid w:val="00136A7C"/>
    <w:rsid w:val="00137BAF"/>
    <w:rsid w:val="00141639"/>
    <w:rsid w:val="001424F0"/>
    <w:rsid w:val="001455AB"/>
    <w:rsid w:val="00146BEF"/>
    <w:rsid w:val="00153E4E"/>
    <w:rsid w:val="001559D0"/>
    <w:rsid w:val="00156C71"/>
    <w:rsid w:val="0015762C"/>
    <w:rsid w:val="00163E15"/>
    <w:rsid w:val="00172937"/>
    <w:rsid w:val="001913D6"/>
    <w:rsid w:val="00191E52"/>
    <w:rsid w:val="00194530"/>
    <w:rsid w:val="0019534C"/>
    <w:rsid w:val="001A0358"/>
    <w:rsid w:val="001B1DAE"/>
    <w:rsid w:val="001B2473"/>
    <w:rsid w:val="001B570A"/>
    <w:rsid w:val="001C1618"/>
    <w:rsid w:val="001C3D3A"/>
    <w:rsid w:val="001D7F20"/>
    <w:rsid w:val="001F4608"/>
    <w:rsid w:val="00210034"/>
    <w:rsid w:val="00210C20"/>
    <w:rsid w:val="002218D5"/>
    <w:rsid w:val="00221EFA"/>
    <w:rsid w:val="002230C4"/>
    <w:rsid w:val="0022321F"/>
    <w:rsid w:val="00226E00"/>
    <w:rsid w:val="00230841"/>
    <w:rsid w:val="00237206"/>
    <w:rsid w:val="00237DA5"/>
    <w:rsid w:val="00241084"/>
    <w:rsid w:val="002434C9"/>
    <w:rsid w:val="00252CCD"/>
    <w:rsid w:val="002532A7"/>
    <w:rsid w:val="00254001"/>
    <w:rsid w:val="0026799E"/>
    <w:rsid w:val="00270AC3"/>
    <w:rsid w:val="00297240"/>
    <w:rsid w:val="002A32BD"/>
    <w:rsid w:val="002A6D4B"/>
    <w:rsid w:val="002B2854"/>
    <w:rsid w:val="002B2B91"/>
    <w:rsid w:val="002B6DE6"/>
    <w:rsid w:val="002D3237"/>
    <w:rsid w:val="002E0BAA"/>
    <w:rsid w:val="002E10C2"/>
    <w:rsid w:val="002E31AE"/>
    <w:rsid w:val="002F1464"/>
    <w:rsid w:val="002F4BC2"/>
    <w:rsid w:val="002F70E4"/>
    <w:rsid w:val="003018EA"/>
    <w:rsid w:val="00302516"/>
    <w:rsid w:val="003047C3"/>
    <w:rsid w:val="00327707"/>
    <w:rsid w:val="00331AC4"/>
    <w:rsid w:val="00333491"/>
    <w:rsid w:val="00342A58"/>
    <w:rsid w:val="00347DD6"/>
    <w:rsid w:val="00353E4C"/>
    <w:rsid w:val="00355901"/>
    <w:rsid w:val="00364C83"/>
    <w:rsid w:val="003669EA"/>
    <w:rsid w:val="00385C49"/>
    <w:rsid w:val="00397F8B"/>
    <w:rsid w:val="003A3C09"/>
    <w:rsid w:val="003A469C"/>
    <w:rsid w:val="003A729A"/>
    <w:rsid w:val="003B42AE"/>
    <w:rsid w:val="003B6C14"/>
    <w:rsid w:val="003C55DC"/>
    <w:rsid w:val="003D18BC"/>
    <w:rsid w:val="003D5ABD"/>
    <w:rsid w:val="003E0725"/>
    <w:rsid w:val="003F485B"/>
    <w:rsid w:val="00400D2D"/>
    <w:rsid w:val="0041201E"/>
    <w:rsid w:val="00414B8D"/>
    <w:rsid w:val="00434293"/>
    <w:rsid w:val="00435C74"/>
    <w:rsid w:val="00445BF1"/>
    <w:rsid w:val="004460A0"/>
    <w:rsid w:val="00446F63"/>
    <w:rsid w:val="004512BF"/>
    <w:rsid w:val="0045179C"/>
    <w:rsid w:val="004528CA"/>
    <w:rsid w:val="0046314C"/>
    <w:rsid w:val="0047540D"/>
    <w:rsid w:val="0048524D"/>
    <w:rsid w:val="00490546"/>
    <w:rsid w:val="00491C25"/>
    <w:rsid w:val="004927BA"/>
    <w:rsid w:val="004A6473"/>
    <w:rsid w:val="004B2A14"/>
    <w:rsid w:val="004B49AF"/>
    <w:rsid w:val="004B70F7"/>
    <w:rsid w:val="004C2123"/>
    <w:rsid w:val="004C79EA"/>
    <w:rsid w:val="004D5386"/>
    <w:rsid w:val="004E0FBB"/>
    <w:rsid w:val="004E40E2"/>
    <w:rsid w:val="004E4E38"/>
    <w:rsid w:val="004F2310"/>
    <w:rsid w:val="00513546"/>
    <w:rsid w:val="00517FD7"/>
    <w:rsid w:val="00523F60"/>
    <w:rsid w:val="00536367"/>
    <w:rsid w:val="00537E28"/>
    <w:rsid w:val="0055048B"/>
    <w:rsid w:val="00553268"/>
    <w:rsid w:val="00556DDB"/>
    <w:rsid w:val="00561DD0"/>
    <w:rsid w:val="00567238"/>
    <w:rsid w:val="00577DCF"/>
    <w:rsid w:val="005800F6"/>
    <w:rsid w:val="005808E9"/>
    <w:rsid w:val="005859AB"/>
    <w:rsid w:val="00592CE8"/>
    <w:rsid w:val="0059732C"/>
    <w:rsid w:val="005C2486"/>
    <w:rsid w:val="005C699C"/>
    <w:rsid w:val="005E269E"/>
    <w:rsid w:val="005E5025"/>
    <w:rsid w:val="005E7324"/>
    <w:rsid w:val="005F29AA"/>
    <w:rsid w:val="005F3194"/>
    <w:rsid w:val="005F5923"/>
    <w:rsid w:val="0060566D"/>
    <w:rsid w:val="00606686"/>
    <w:rsid w:val="0061259B"/>
    <w:rsid w:val="0063027E"/>
    <w:rsid w:val="00637450"/>
    <w:rsid w:val="00641DED"/>
    <w:rsid w:val="006455C8"/>
    <w:rsid w:val="00652D32"/>
    <w:rsid w:val="006538D4"/>
    <w:rsid w:val="006558E3"/>
    <w:rsid w:val="00665D51"/>
    <w:rsid w:val="00672513"/>
    <w:rsid w:val="00677652"/>
    <w:rsid w:val="00684461"/>
    <w:rsid w:val="0069468F"/>
    <w:rsid w:val="006960B8"/>
    <w:rsid w:val="006A2B44"/>
    <w:rsid w:val="006A4938"/>
    <w:rsid w:val="006B0B32"/>
    <w:rsid w:val="006C4500"/>
    <w:rsid w:val="006D68BE"/>
    <w:rsid w:val="006F0C99"/>
    <w:rsid w:val="006F1959"/>
    <w:rsid w:val="00705253"/>
    <w:rsid w:val="0070688F"/>
    <w:rsid w:val="00713931"/>
    <w:rsid w:val="00716B7E"/>
    <w:rsid w:val="007229FB"/>
    <w:rsid w:val="00724B4A"/>
    <w:rsid w:val="007312B8"/>
    <w:rsid w:val="007315A7"/>
    <w:rsid w:val="00731EEC"/>
    <w:rsid w:val="00734891"/>
    <w:rsid w:val="00736115"/>
    <w:rsid w:val="00736C5D"/>
    <w:rsid w:val="0074035B"/>
    <w:rsid w:val="0074575D"/>
    <w:rsid w:val="00745791"/>
    <w:rsid w:val="007500C5"/>
    <w:rsid w:val="00756BD4"/>
    <w:rsid w:val="00762EB5"/>
    <w:rsid w:val="00772308"/>
    <w:rsid w:val="00773F3A"/>
    <w:rsid w:val="00781634"/>
    <w:rsid w:val="007871E3"/>
    <w:rsid w:val="00790BF6"/>
    <w:rsid w:val="00796791"/>
    <w:rsid w:val="007A10ED"/>
    <w:rsid w:val="007A607E"/>
    <w:rsid w:val="007B4431"/>
    <w:rsid w:val="007C1602"/>
    <w:rsid w:val="007C403C"/>
    <w:rsid w:val="007C4A7F"/>
    <w:rsid w:val="007C592E"/>
    <w:rsid w:val="007D0CAE"/>
    <w:rsid w:val="007D6AE8"/>
    <w:rsid w:val="007D7ABA"/>
    <w:rsid w:val="007E1A31"/>
    <w:rsid w:val="007E2561"/>
    <w:rsid w:val="007F32E3"/>
    <w:rsid w:val="007F4F24"/>
    <w:rsid w:val="007F6451"/>
    <w:rsid w:val="0081003C"/>
    <w:rsid w:val="00813376"/>
    <w:rsid w:val="0081632A"/>
    <w:rsid w:val="00816E6E"/>
    <w:rsid w:val="00821766"/>
    <w:rsid w:val="008257B7"/>
    <w:rsid w:val="0082715F"/>
    <w:rsid w:val="0083127A"/>
    <w:rsid w:val="00835F32"/>
    <w:rsid w:val="00836173"/>
    <w:rsid w:val="00837B32"/>
    <w:rsid w:val="008430C3"/>
    <w:rsid w:val="00844418"/>
    <w:rsid w:val="008456BC"/>
    <w:rsid w:val="008469B8"/>
    <w:rsid w:val="00857D72"/>
    <w:rsid w:val="0087331C"/>
    <w:rsid w:val="00873BD2"/>
    <w:rsid w:val="0088534D"/>
    <w:rsid w:val="00893F97"/>
    <w:rsid w:val="008A02FF"/>
    <w:rsid w:val="008A31DD"/>
    <w:rsid w:val="008B4C19"/>
    <w:rsid w:val="008B7626"/>
    <w:rsid w:val="008C1BF8"/>
    <w:rsid w:val="008C5A70"/>
    <w:rsid w:val="008C6A1D"/>
    <w:rsid w:val="008D22ED"/>
    <w:rsid w:val="008D4B5B"/>
    <w:rsid w:val="008E505B"/>
    <w:rsid w:val="008E67B0"/>
    <w:rsid w:val="008E6F9F"/>
    <w:rsid w:val="008F22E5"/>
    <w:rsid w:val="00906376"/>
    <w:rsid w:val="009104ED"/>
    <w:rsid w:val="00914E6A"/>
    <w:rsid w:val="009164A5"/>
    <w:rsid w:val="0091750C"/>
    <w:rsid w:val="00965B2C"/>
    <w:rsid w:val="00965F7F"/>
    <w:rsid w:val="00983275"/>
    <w:rsid w:val="00983C5F"/>
    <w:rsid w:val="00990B8D"/>
    <w:rsid w:val="00990C0B"/>
    <w:rsid w:val="00991233"/>
    <w:rsid w:val="00996C98"/>
    <w:rsid w:val="00997BCB"/>
    <w:rsid w:val="009A7405"/>
    <w:rsid w:val="009B0754"/>
    <w:rsid w:val="009B2DBF"/>
    <w:rsid w:val="009B5E0F"/>
    <w:rsid w:val="009B7309"/>
    <w:rsid w:val="009C3F26"/>
    <w:rsid w:val="009C4881"/>
    <w:rsid w:val="009C4C30"/>
    <w:rsid w:val="009D09CC"/>
    <w:rsid w:val="009D1F7A"/>
    <w:rsid w:val="009F1DB5"/>
    <w:rsid w:val="009F603D"/>
    <w:rsid w:val="00A05E9E"/>
    <w:rsid w:val="00A11C5D"/>
    <w:rsid w:val="00A12529"/>
    <w:rsid w:val="00A141A1"/>
    <w:rsid w:val="00A174CC"/>
    <w:rsid w:val="00A20E49"/>
    <w:rsid w:val="00A22F8F"/>
    <w:rsid w:val="00A24241"/>
    <w:rsid w:val="00A27E01"/>
    <w:rsid w:val="00A3297A"/>
    <w:rsid w:val="00A44687"/>
    <w:rsid w:val="00A516DD"/>
    <w:rsid w:val="00A52D6B"/>
    <w:rsid w:val="00A544BC"/>
    <w:rsid w:val="00A6493F"/>
    <w:rsid w:val="00A7008E"/>
    <w:rsid w:val="00A76011"/>
    <w:rsid w:val="00A805ED"/>
    <w:rsid w:val="00A80F3D"/>
    <w:rsid w:val="00A86D90"/>
    <w:rsid w:val="00A9105F"/>
    <w:rsid w:val="00A92557"/>
    <w:rsid w:val="00A95CA4"/>
    <w:rsid w:val="00AC4D32"/>
    <w:rsid w:val="00AD7118"/>
    <w:rsid w:val="00AE1B62"/>
    <w:rsid w:val="00B05A31"/>
    <w:rsid w:val="00B17777"/>
    <w:rsid w:val="00B21D2C"/>
    <w:rsid w:val="00B22A76"/>
    <w:rsid w:val="00B50678"/>
    <w:rsid w:val="00B5584B"/>
    <w:rsid w:val="00B70BF5"/>
    <w:rsid w:val="00B72689"/>
    <w:rsid w:val="00B87602"/>
    <w:rsid w:val="00BA3E31"/>
    <w:rsid w:val="00BA588F"/>
    <w:rsid w:val="00BA6EB9"/>
    <w:rsid w:val="00BB075C"/>
    <w:rsid w:val="00BB28DC"/>
    <w:rsid w:val="00BB50CB"/>
    <w:rsid w:val="00BB50F7"/>
    <w:rsid w:val="00BC262E"/>
    <w:rsid w:val="00BC2AE4"/>
    <w:rsid w:val="00BC75F8"/>
    <w:rsid w:val="00BD334A"/>
    <w:rsid w:val="00BD3FE4"/>
    <w:rsid w:val="00BF00B5"/>
    <w:rsid w:val="00BF03B0"/>
    <w:rsid w:val="00BF52AB"/>
    <w:rsid w:val="00C10152"/>
    <w:rsid w:val="00C14C1D"/>
    <w:rsid w:val="00C2121B"/>
    <w:rsid w:val="00C3407A"/>
    <w:rsid w:val="00C345F9"/>
    <w:rsid w:val="00C45272"/>
    <w:rsid w:val="00C504CE"/>
    <w:rsid w:val="00C51ED5"/>
    <w:rsid w:val="00C53B9F"/>
    <w:rsid w:val="00C56644"/>
    <w:rsid w:val="00C6787A"/>
    <w:rsid w:val="00C70FB4"/>
    <w:rsid w:val="00C750A8"/>
    <w:rsid w:val="00C97119"/>
    <w:rsid w:val="00CA27FE"/>
    <w:rsid w:val="00CB0F8E"/>
    <w:rsid w:val="00CB1871"/>
    <w:rsid w:val="00CB3070"/>
    <w:rsid w:val="00CB5CED"/>
    <w:rsid w:val="00CB76B3"/>
    <w:rsid w:val="00CC59B6"/>
    <w:rsid w:val="00CC78EF"/>
    <w:rsid w:val="00CD1C07"/>
    <w:rsid w:val="00CD3FE6"/>
    <w:rsid w:val="00CF1FC4"/>
    <w:rsid w:val="00CF2C68"/>
    <w:rsid w:val="00CF3919"/>
    <w:rsid w:val="00CF76F3"/>
    <w:rsid w:val="00D06377"/>
    <w:rsid w:val="00D16D72"/>
    <w:rsid w:val="00D27DD5"/>
    <w:rsid w:val="00D3093E"/>
    <w:rsid w:val="00D40F70"/>
    <w:rsid w:val="00D42512"/>
    <w:rsid w:val="00D52A45"/>
    <w:rsid w:val="00D53E39"/>
    <w:rsid w:val="00D54A8F"/>
    <w:rsid w:val="00D57763"/>
    <w:rsid w:val="00D70644"/>
    <w:rsid w:val="00D70EE3"/>
    <w:rsid w:val="00D732CF"/>
    <w:rsid w:val="00D77830"/>
    <w:rsid w:val="00D83D07"/>
    <w:rsid w:val="00D9377B"/>
    <w:rsid w:val="00D944C3"/>
    <w:rsid w:val="00D95649"/>
    <w:rsid w:val="00DA1CD2"/>
    <w:rsid w:val="00DC2394"/>
    <w:rsid w:val="00DD719D"/>
    <w:rsid w:val="00DE584E"/>
    <w:rsid w:val="00DF1299"/>
    <w:rsid w:val="00E06AC7"/>
    <w:rsid w:val="00E25091"/>
    <w:rsid w:val="00E262D3"/>
    <w:rsid w:val="00E27E75"/>
    <w:rsid w:val="00E34C5E"/>
    <w:rsid w:val="00E36038"/>
    <w:rsid w:val="00E509BF"/>
    <w:rsid w:val="00E53739"/>
    <w:rsid w:val="00E57808"/>
    <w:rsid w:val="00E60B22"/>
    <w:rsid w:val="00E6513F"/>
    <w:rsid w:val="00E658EB"/>
    <w:rsid w:val="00E73A9C"/>
    <w:rsid w:val="00E858BB"/>
    <w:rsid w:val="00E85AA6"/>
    <w:rsid w:val="00E976F6"/>
    <w:rsid w:val="00EA1BBC"/>
    <w:rsid w:val="00EB2C0D"/>
    <w:rsid w:val="00EB2D01"/>
    <w:rsid w:val="00EC2C02"/>
    <w:rsid w:val="00ED3C46"/>
    <w:rsid w:val="00EF5FE0"/>
    <w:rsid w:val="00EF74FA"/>
    <w:rsid w:val="00F03AC9"/>
    <w:rsid w:val="00F16F3A"/>
    <w:rsid w:val="00F22341"/>
    <w:rsid w:val="00F321E6"/>
    <w:rsid w:val="00F3302D"/>
    <w:rsid w:val="00F37E03"/>
    <w:rsid w:val="00F46CFE"/>
    <w:rsid w:val="00F72FBE"/>
    <w:rsid w:val="00F742DF"/>
    <w:rsid w:val="00F758E4"/>
    <w:rsid w:val="00F77608"/>
    <w:rsid w:val="00F82024"/>
    <w:rsid w:val="00F85405"/>
    <w:rsid w:val="00F92B99"/>
    <w:rsid w:val="00FA1A92"/>
    <w:rsid w:val="00FB1C03"/>
    <w:rsid w:val="00FB66A5"/>
    <w:rsid w:val="00FB7210"/>
    <w:rsid w:val="00FC79D1"/>
    <w:rsid w:val="00FE052A"/>
    <w:rsid w:val="00FE1EB9"/>
    <w:rsid w:val="00FF6B89"/>
    <w:rsid w:val="2C60C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B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761" w:hanging="662"/>
    </w:pPr>
    <w:rPr>
      <w:sz w:val="24"/>
      <w:szCs w:val="24"/>
    </w:rPr>
  </w:style>
  <w:style w:type="paragraph" w:styleId="TOC2">
    <w:name w:val="toc 2"/>
    <w:basedOn w:val="Normal"/>
    <w:uiPriority w:val="1"/>
    <w:qFormat/>
    <w:pPr>
      <w:spacing w:before="101"/>
      <w:ind w:left="982" w:hanging="662"/>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ind w:left="105"/>
    </w:pPr>
  </w:style>
  <w:style w:type="paragraph" w:styleId="Revision">
    <w:name w:val="Revision"/>
    <w:hidden/>
    <w:uiPriority w:val="99"/>
    <w:semiHidden/>
    <w:rsid w:val="009C4881"/>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9C4881"/>
    <w:rPr>
      <w:sz w:val="16"/>
      <w:szCs w:val="16"/>
    </w:rPr>
  </w:style>
  <w:style w:type="paragraph" w:styleId="CommentText">
    <w:name w:val="annotation text"/>
    <w:basedOn w:val="Normal"/>
    <w:link w:val="CommentTextChar"/>
    <w:uiPriority w:val="99"/>
    <w:unhideWhenUsed/>
    <w:rsid w:val="009C4881"/>
    <w:rPr>
      <w:sz w:val="20"/>
      <w:szCs w:val="20"/>
    </w:rPr>
  </w:style>
  <w:style w:type="character" w:customStyle="1" w:styleId="CommentTextChar">
    <w:name w:val="Comment Text Char"/>
    <w:basedOn w:val="DefaultParagraphFont"/>
    <w:link w:val="CommentText"/>
    <w:uiPriority w:val="99"/>
    <w:rsid w:val="009C488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C4881"/>
    <w:rPr>
      <w:b/>
      <w:bCs/>
    </w:rPr>
  </w:style>
  <w:style w:type="character" w:customStyle="1" w:styleId="CommentSubjectChar">
    <w:name w:val="Comment Subject Char"/>
    <w:basedOn w:val="CommentTextChar"/>
    <w:link w:val="CommentSubject"/>
    <w:uiPriority w:val="99"/>
    <w:semiHidden/>
    <w:rsid w:val="009C4881"/>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3F485B"/>
    <w:rPr>
      <w:color w:val="0000FF"/>
      <w:u w:val="single"/>
    </w:rPr>
  </w:style>
  <w:style w:type="paragraph" w:styleId="Header">
    <w:name w:val="header"/>
    <w:basedOn w:val="Normal"/>
    <w:link w:val="HeaderChar"/>
    <w:uiPriority w:val="99"/>
    <w:unhideWhenUsed/>
    <w:rsid w:val="00A3297A"/>
    <w:pPr>
      <w:tabs>
        <w:tab w:val="center" w:pos="4513"/>
        <w:tab w:val="right" w:pos="9026"/>
      </w:tabs>
    </w:pPr>
  </w:style>
  <w:style w:type="character" w:customStyle="1" w:styleId="HeaderChar">
    <w:name w:val="Header Char"/>
    <w:basedOn w:val="DefaultParagraphFont"/>
    <w:link w:val="Header"/>
    <w:uiPriority w:val="99"/>
    <w:rsid w:val="00A3297A"/>
    <w:rPr>
      <w:rFonts w:ascii="Arial" w:eastAsia="Arial" w:hAnsi="Arial" w:cs="Arial"/>
      <w:lang w:val="en-GB" w:eastAsia="en-GB" w:bidi="en-GB"/>
    </w:rPr>
  </w:style>
  <w:style w:type="paragraph" w:styleId="Footer">
    <w:name w:val="footer"/>
    <w:basedOn w:val="Normal"/>
    <w:link w:val="FooterChar"/>
    <w:uiPriority w:val="99"/>
    <w:unhideWhenUsed/>
    <w:rsid w:val="00A3297A"/>
    <w:pPr>
      <w:tabs>
        <w:tab w:val="center" w:pos="4513"/>
        <w:tab w:val="right" w:pos="9026"/>
      </w:tabs>
    </w:pPr>
  </w:style>
  <w:style w:type="character" w:customStyle="1" w:styleId="FooterChar">
    <w:name w:val="Footer Char"/>
    <w:basedOn w:val="DefaultParagraphFont"/>
    <w:link w:val="Footer"/>
    <w:uiPriority w:val="99"/>
    <w:rsid w:val="00A3297A"/>
    <w:rPr>
      <w:rFonts w:ascii="Arial" w:eastAsia="Arial" w:hAnsi="Arial" w:cs="Arial"/>
      <w:lang w:val="en-GB" w:eastAsia="en-GB" w:bidi="en-GB"/>
    </w:rPr>
  </w:style>
  <w:style w:type="character" w:styleId="UnresolvedMention">
    <w:name w:val="Unresolved Mention"/>
    <w:basedOn w:val="DefaultParagraphFont"/>
    <w:uiPriority w:val="99"/>
    <w:semiHidden/>
    <w:unhideWhenUsed/>
    <w:rsid w:val="000A1488"/>
    <w:rPr>
      <w:color w:val="605E5C"/>
      <w:shd w:val="clear" w:color="auto" w:fill="E1DFDD"/>
    </w:rPr>
  </w:style>
  <w:style w:type="paragraph" w:styleId="TOCHeading">
    <w:name w:val="TOC Heading"/>
    <w:basedOn w:val="Heading1"/>
    <w:next w:val="Normal"/>
    <w:uiPriority w:val="39"/>
    <w:unhideWhenUsed/>
    <w:qFormat/>
    <w:rsid w:val="00A20E4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styleId="FollowedHyperlink">
    <w:name w:val="FollowedHyperlink"/>
    <w:basedOn w:val="DefaultParagraphFont"/>
    <w:uiPriority w:val="99"/>
    <w:semiHidden/>
    <w:unhideWhenUsed/>
    <w:rsid w:val="006558E3"/>
    <w:rPr>
      <w:color w:val="800080" w:themeColor="followedHyperlink"/>
      <w:u w:val="single"/>
    </w:rPr>
  </w:style>
  <w:style w:type="paragraph" w:styleId="NormalWeb">
    <w:name w:val="Normal (Web)"/>
    <w:basedOn w:val="Normal"/>
    <w:uiPriority w:val="99"/>
    <w:unhideWhenUsed/>
    <w:rsid w:val="00BC2AE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10BF9"/>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82935">
      <w:bodyDiv w:val="1"/>
      <w:marLeft w:val="0"/>
      <w:marRight w:val="0"/>
      <w:marTop w:val="0"/>
      <w:marBottom w:val="0"/>
      <w:divBdr>
        <w:top w:val="none" w:sz="0" w:space="0" w:color="auto"/>
        <w:left w:val="none" w:sz="0" w:space="0" w:color="auto"/>
        <w:bottom w:val="none" w:sz="0" w:space="0" w:color="auto"/>
        <w:right w:val="none" w:sz="0" w:space="0" w:color="auto"/>
      </w:divBdr>
    </w:div>
    <w:div w:id="930699391">
      <w:bodyDiv w:val="1"/>
      <w:marLeft w:val="0"/>
      <w:marRight w:val="0"/>
      <w:marTop w:val="0"/>
      <w:marBottom w:val="0"/>
      <w:divBdr>
        <w:top w:val="none" w:sz="0" w:space="0" w:color="auto"/>
        <w:left w:val="none" w:sz="0" w:space="0" w:color="auto"/>
        <w:bottom w:val="none" w:sz="0" w:space="0" w:color="auto"/>
        <w:right w:val="none" w:sz="0" w:space="0" w:color="auto"/>
      </w:divBdr>
    </w:div>
    <w:div w:id="1210873515">
      <w:bodyDiv w:val="1"/>
      <w:marLeft w:val="0"/>
      <w:marRight w:val="0"/>
      <w:marTop w:val="0"/>
      <w:marBottom w:val="0"/>
      <w:divBdr>
        <w:top w:val="none" w:sz="0" w:space="0" w:color="auto"/>
        <w:left w:val="none" w:sz="0" w:space="0" w:color="auto"/>
        <w:bottom w:val="none" w:sz="0" w:space="0" w:color="auto"/>
        <w:right w:val="none" w:sz="0" w:space="0" w:color="auto"/>
      </w:divBdr>
      <w:divsChild>
        <w:div w:id="586499082">
          <w:marLeft w:val="274"/>
          <w:marRight w:val="0"/>
          <w:marTop w:val="0"/>
          <w:marBottom w:val="0"/>
          <w:divBdr>
            <w:top w:val="none" w:sz="0" w:space="0" w:color="auto"/>
            <w:left w:val="none" w:sz="0" w:space="0" w:color="auto"/>
            <w:bottom w:val="none" w:sz="0" w:space="0" w:color="auto"/>
            <w:right w:val="none" w:sz="0" w:space="0" w:color="auto"/>
          </w:divBdr>
        </w:div>
        <w:div w:id="1355227571">
          <w:marLeft w:val="274"/>
          <w:marRight w:val="0"/>
          <w:marTop w:val="0"/>
          <w:marBottom w:val="0"/>
          <w:divBdr>
            <w:top w:val="none" w:sz="0" w:space="0" w:color="auto"/>
            <w:left w:val="none" w:sz="0" w:space="0" w:color="auto"/>
            <w:bottom w:val="none" w:sz="0" w:space="0" w:color="auto"/>
            <w:right w:val="none" w:sz="0" w:space="0" w:color="auto"/>
          </w:divBdr>
        </w:div>
        <w:div w:id="1961909221">
          <w:marLeft w:val="274"/>
          <w:marRight w:val="0"/>
          <w:marTop w:val="0"/>
          <w:marBottom w:val="0"/>
          <w:divBdr>
            <w:top w:val="none" w:sz="0" w:space="0" w:color="auto"/>
            <w:left w:val="none" w:sz="0" w:space="0" w:color="auto"/>
            <w:bottom w:val="none" w:sz="0" w:space="0" w:color="auto"/>
            <w:right w:val="none" w:sz="0" w:space="0" w:color="auto"/>
          </w:divBdr>
        </w:div>
        <w:div w:id="1094666137">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dd.adobe.com/view/22476d3b-afd0-4e28-af0d-7be658b88b3b" TargetMode="External"/><Relationship Id="rId18" Type="http://schemas.openxmlformats.org/officeDocument/2006/relationships/hyperlink" Target="https://humberandnorthyorkshire.icb.nhs.uk/governance-publication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umberandnorthyorkshire.icb.nhs.uk/board-members/" TargetMode="External"/><Relationship Id="rId17" Type="http://schemas.openxmlformats.org/officeDocument/2006/relationships/hyperlink" Target="https://humberandnorthyorkshire.icb.nhs.uk/governance-publications/" TargetMode="External"/><Relationship Id="rId25" Type="http://schemas.openxmlformats.org/officeDocument/2006/relationships/hyperlink" Target="https://humberandnorthyorkshire.icb.nhs.uk/governance-publications/" TargetMode="External"/><Relationship Id="rId2" Type="http://schemas.openxmlformats.org/officeDocument/2006/relationships/numbering" Target="numbering.xml"/><Relationship Id="rId16" Type="http://schemas.openxmlformats.org/officeDocument/2006/relationships/hyperlink" Target="https://humberandnorthyorkshire.icb.nhs.uk/governance-publication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berandnorthyorkshire.icb.nhs.uk/governance-publications/" TargetMode="External"/><Relationship Id="rId24" Type="http://schemas.openxmlformats.org/officeDocument/2006/relationships/hyperlink" Target="https://humberandnorthyorkshire.icb.nhs.uk/board-members/"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humberandnorthyorkshire.icb.nhs.uk/governance-publications/" TargetMode="External"/><Relationship Id="rId23" Type="http://schemas.openxmlformats.org/officeDocument/2006/relationships/image" Target="media/image4.sv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humberandnorthyorkshire.icb.nhs.uk/governance-publications/"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umberandnorthyorkshire.icb.nhs.uk/governance/" TargetMode="External"/><Relationship Id="rId22" Type="http://schemas.openxmlformats.org/officeDocument/2006/relationships/image" Target="media/image3.png"/><Relationship Id="rId27" Type="http://schemas.openxmlformats.org/officeDocument/2006/relationships/footer" Target="footer3.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4" ma:contentTypeDescription="Create a new document." ma:contentTypeScope="" ma:versionID="645ea0035bed1cebf7b1fa5e02dd661a">
  <xsd:schema xmlns:xsd="http://www.w3.org/2001/XMLSchema" xmlns:xs="http://www.w3.org/2001/XMLSchema" xmlns:p="http://schemas.microsoft.com/office/2006/metadata/properties" xmlns:ns1="http://schemas.microsoft.com/sharepoint/v3" xmlns:ns2="d4a3bdf5-4daf-4fdd-98bb-3d605b58f822" xmlns:ns3="ad541163-cd74-4f1b-bfd4-993ad071712c" targetNamespace="http://schemas.microsoft.com/office/2006/metadata/properties" ma:root="true" ma:fieldsID="0a822d7d6fe015de745a021f29750308" ns1:_="" ns2:_="" ns3:_="">
    <xsd:import namespace="http://schemas.microsoft.com/sharepoint/v3"/>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4a3bdf5-4daf-4fdd-98bb-3d605b58f822">
      <Terms xmlns="http://schemas.microsoft.com/office/infopath/2007/PartnerControls"/>
    </lcf76f155ced4ddcb4097134ff3c332f>
    <TaxCatchAll xmlns="ad541163-cd74-4f1b-bfd4-993ad071712c" xsi:nil="true"/>
  </documentManagement>
</p:properties>
</file>

<file path=customXml/itemProps1.xml><?xml version="1.0" encoding="utf-8"?>
<ds:datastoreItem xmlns:ds="http://schemas.openxmlformats.org/officeDocument/2006/customXml" ds:itemID="{8F01EB69-64AA-47F6-BA4C-5F21C5C03693}">
  <ds:schemaRefs>
    <ds:schemaRef ds:uri="http://schemas.openxmlformats.org/officeDocument/2006/bibliography"/>
  </ds:schemaRefs>
</ds:datastoreItem>
</file>

<file path=customXml/itemProps2.xml><?xml version="1.0" encoding="utf-8"?>
<ds:datastoreItem xmlns:ds="http://schemas.openxmlformats.org/officeDocument/2006/customXml" ds:itemID="{B75AD366-052E-4E04-8F76-2628E30CE59D}"/>
</file>

<file path=customXml/itemProps3.xml><?xml version="1.0" encoding="utf-8"?>
<ds:datastoreItem xmlns:ds="http://schemas.openxmlformats.org/officeDocument/2006/customXml" ds:itemID="{42AE9838-0457-4186-9F15-20BD0F419D03}"/>
</file>

<file path=customXml/itemProps4.xml><?xml version="1.0" encoding="utf-8"?>
<ds:datastoreItem xmlns:ds="http://schemas.openxmlformats.org/officeDocument/2006/customXml" ds:itemID="{4A8738C9-B888-4C34-8CCC-8B18142F71C2}"/>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2339</Words>
  <Characters>13336</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2025-07-21T10:30:00Z</dcterms:created>
  <dcterms:modified xsi:type="dcterms:W3CDTF">2025-07-21T10:30:00Z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2023-07-14T00:00:00Z</vt:filetime>
  </property>
  <property fmtid="{D5CDD505-2E9C-101B-9397-08002B2CF9AE}" pid="3" name="MediaServiceImageTags">
    <vt:lpwstr/>
  </property>
  <property fmtid="{D5CDD505-2E9C-101B-9397-08002B2CF9AE}" pid="4" name="ContentTypeId">
    <vt:lpwstr>0x010100B687E11AAAC79F42AA011413B6340A7A</vt:lpwstr>
  </property>
  <property fmtid="{D5CDD505-2E9C-101B-9397-08002B2CF9AE}" pid="5" name="Creator">
    <vt:lpwstr>Microsoft® Word for Microsoft 365</vt:lpwstr>
  </property>
  <property fmtid="{D5CDD505-2E9C-101B-9397-08002B2CF9AE}" pid="6" name="Created">
    <vt:filetime>2022-06-23T00:00:00Z</vt:filetime>
  </property>
</Properties>
</file>