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BE1D" w14:textId="77777777" w:rsidR="008975EA" w:rsidRDefault="008975EA" w:rsidP="00BC7E04">
      <w:pPr>
        <w:spacing w:before="240" w:after="160" w:line="259" w:lineRule="auto"/>
        <w:ind w:left="559" w:right="598"/>
        <w:jc w:val="center"/>
        <w:rPr>
          <w:rFonts w:ascii="Arial" w:eastAsiaTheme="minorHAnsi" w:hAnsi="Arial" w:cs="Arial"/>
          <w:b/>
          <w:bCs/>
          <w:sz w:val="44"/>
          <w:szCs w:val="44"/>
        </w:rPr>
      </w:pPr>
    </w:p>
    <w:p w14:paraId="370C0B55" w14:textId="12662D55" w:rsidR="00BC7E04" w:rsidRPr="00BC7E04" w:rsidRDefault="00BC7E04" w:rsidP="00BC7E04">
      <w:pPr>
        <w:spacing w:before="240" w:after="160" w:line="259" w:lineRule="auto"/>
        <w:ind w:left="559" w:right="598"/>
        <w:jc w:val="center"/>
        <w:rPr>
          <w:rFonts w:ascii="Arial" w:eastAsiaTheme="minorHAnsi" w:hAnsi="Arial" w:cs="Arial"/>
          <w:b/>
          <w:bCs/>
          <w:sz w:val="44"/>
          <w:szCs w:val="44"/>
        </w:rPr>
      </w:pPr>
      <w:r w:rsidRPr="00BC7E04">
        <w:rPr>
          <w:rFonts w:ascii="Arial" w:eastAsiaTheme="minorHAnsi" w:hAnsi="Arial" w:cs="Arial"/>
          <w:b/>
          <w:bCs/>
          <w:sz w:val="44"/>
          <w:szCs w:val="44"/>
        </w:rPr>
        <w:t>Pharmaceutical Services Regulations Committee</w:t>
      </w:r>
    </w:p>
    <w:p w14:paraId="641B8887" w14:textId="77777777" w:rsidR="00BC7E04" w:rsidRPr="00BC7E04" w:rsidRDefault="00BC7E04" w:rsidP="00BC7E04">
      <w:pPr>
        <w:spacing w:before="240" w:after="160" w:line="259" w:lineRule="auto"/>
        <w:ind w:left="559" w:right="598"/>
        <w:jc w:val="center"/>
        <w:rPr>
          <w:rFonts w:ascii="Arial" w:eastAsiaTheme="minorHAnsi" w:hAnsi="Arial" w:cs="Arial"/>
          <w:b/>
          <w:sz w:val="44"/>
          <w:szCs w:val="44"/>
        </w:rPr>
      </w:pPr>
    </w:p>
    <w:p w14:paraId="09C57EAE" w14:textId="0260010B" w:rsidR="00E25AB1" w:rsidRDefault="00BC7E04" w:rsidP="006C5DFE">
      <w:pPr>
        <w:spacing w:before="240" w:after="160" w:line="259" w:lineRule="auto"/>
        <w:ind w:left="559" w:right="598"/>
        <w:jc w:val="center"/>
        <w:rPr>
          <w:rFonts w:ascii="Arial" w:eastAsiaTheme="minorHAnsi" w:hAnsi="Arial" w:cs="Arial"/>
          <w:b/>
          <w:sz w:val="44"/>
          <w:szCs w:val="44"/>
        </w:rPr>
      </w:pPr>
      <w:r w:rsidRPr="00BC7E04">
        <w:rPr>
          <w:rFonts w:ascii="Arial" w:eastAsiaTheme="minorHAnsi" w:hAnsi="Arial" w:cs="Arial"/>
          <w:b/>
          <w:sz w:val="44"/>
          <w:szCs w:val="44"/>
        </w:rPr>
        <w:t>Terms</w:t>
      </w:r>
      <w:r w:rsidRPr="00BC7E04">
        <w:rPr>
          <w:rFonts w:ascii="Arial" w:eastAsiaTheme="minorHAnsi" w:hAnsi="Arial" w:cs="Arial"/>
          <w:b/>
          <w:spacing w:val="-10"/>
          <w:sz w:val="44"/>
          <w:szCs w:val="44"/>
        </w:rPr>
        <w:t xml:space="preserve"> </w:t>
      </w:r>
      <w:r w:rsidRPr="00BC7E04">
        <w:rPr>
          <w:rFonts w:ascii="Arial" w:eastAsiaTheme="minorHAnsi" w:hAnsi="Arial" w:cs="Arial"/>
          <w:b/>
          <w:sz w:val="44"/>
          <w:szCs w:val="44"/>
        </w:rPr>
        <w:t>of</w:t>
      </w:r>
      <w:r w:rsidRPr="00BC7E04">
        <w:rPr>
          <w:rFonts w:ascii="Arial" w:eastAsiaTheme="minorHAnsi" w:hAnsi="Arial" w:cs="Arial"/>
          <w:b/>
          <w:spacing w:val="-10"/>
          <w:sz w:val="44"/>
          <w:szCs w:val="44"/>
        </w:rPr>
        <w:t xml:space="preserve"> </w:t>
      </w:r>
      <w:r w:rsidRPr="00BC7E04">
        <w:rPr>
          <w:rFonts w:ascii="Arial" w:eastAsiaTheme="minorHAnsi" w:hAnsi="Arial" w:cs="Arial"/>
          <w:b/>
          <w:spacing w:val="-2"/>
          <w:sz w:val="44"/>
          <w:szCs w:val="44"/>
        </w:rPr>
        <w:t>Reference</w:t>
      </w:r>
    </w:p>
    <w:p w14:paraId="0E69A8F8" w14:textId="77777777" w:rsidR="006C5DFE" w:rsidRDefault="006C5DFE" w:rsidP="006C5DFE">
      <w:pPr>
        <w:spacing w:before="240" w:after="160" w:line="259" w:lineRule="auto"/>
        <w:ind w:left="559" w:right="598"/>
        <w:jc w:val="center"/>
        <w:rPr>
          <w:rFonts w:ascii="Arial" w:eastAsiaTheme="minorHAnsi" w:hAnsi="Arial" w:cs="Arial"/>
          <w:b/>
          <w:sz w:val="44"/>
          <w:szCs w:val="44"/>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6096"/>
      </w:tblGrid>
      <w:tr w:rsidR="002120C5" w:rsidRPr="002120C5" w14:paraId="3FB820F8" w14:textId="77777777" w:rsidTr="003033DD">
        <w:trPr>
          <w:trHeight w:val="414"/>
        </w:trPr>
        <w:tc>
          <w:tcPr>
            <w:tcW w:w="3828" w:type="dxa"/>
            <w:shd w:val="clear" w:color="auto" w:fill="DBE4F0"/>
          </w:tcPr>
          <w:p w14:paraId="425C76F5" w14:textId="77777777" w:rsidR="002120C5" w:rsidRPr="002120C5" w:rsidRDefault="002120C5" w:rsidP="002120C5">
            <w:pPr>
              <w:widowControl w:val="0"/>
              <w:autoSpaceDE w:val="0"/>
              <w:autoSpaceDN w:val="0"/>
              <w:ind w:left="107"/>
              <w:rPr>
                <w:rFonts w:ascii="Arial" w:eastAsia="Arial" w:hAnsi="Arial" w:cs="Arial"/>
                <w:b/>
                <w:szCs w:val="22"/>
                <w:lang w:val="en-US"/>
              </w:rPr>
            </w:pPr>
            <w:r w:rsidRPr="002120C5">
              <w:rPr>
                <w:rFonts w:ascii="Arial" w:eastAsia="Arial" w:hAnsi="Arial" w:cs="Arial"/>
                <w:b/>
                <w:bCs/>
                <w:sz w:val="22"/>
                <w:szCs w:val="22"/>
                <w:lang w:val="en-US"/>
              </w:rPr>
              <w:br w:type="page"/>
              <w:t>T</w:t>
            </w:r>
            <w:r w:rsidRPr="002120C5">
              <w:rPr>
                <w:rFonts w:ascii="Arial" w:eastAsia="Arial" w:hAnsi="Arial" w:cs="Arial"/>
                <w:b/>
                <w:szCs w:val="22"/>
                <w:lang w:val="en-US"/>
              </w:rPr>
              <w:t>erms</w:t>
            </w:r>
            <w:r w:rsidRPr="002120C5">
              <w:rPr>
                <w:rFonts w:ascii="Arial" w:eastAsia="Arial" w:hAnsi="Arial" w:cs="Arial"/>
                <w:b/>
                <w:spacing w:val="-1"/>
                <w:szCs w:val="22"/>
                <w:lang w:val="en-US"/>
              </w:rPr>
              <w:t xml:space="preserve"> </w:t>
            </w:r>
            <w:r w:rsidRPr="002120C5">
              <w:rPr>
                <w:rFonts w:ascii="Arial" w:eastAsia="Arial" w:hAnsi="Arial" w:cs="Arial"/>
                <w:b/>
                <w:szCs w:val="22"/>
                <w:lang w:val="en-US"/>
              </w:rPr>
              <w:t>of</w:t>
            </w:r>
            <w:r w:rsidRPr="002120C5">
              <w:rPr>
                <w:rFonts w:ascii="Arial" w:eastAsia="Arial" w:hAnsi="Arial" w:cs="Arial"/>
                <w:b/>
                <w:spacing w:val="-1"/>
                <w:szCs w:val="22"/>
                <w:lang w:val="en-US"/>
              </w:rPr>
              <w:t xml:space="preserve"> </w:t>
            </w:r>
            <w:r w:rsidRPr="002120C5">
              <w:rPr>
                <w:rFonts w:ascii="Arial" w:eastAsia="Arial" w:hAnsi="Arial" w:cs="Arial"/>
                <w:b/>
                <w:spacing w:val="-2"/>
                <w:szCs w:val="22"/>
                <w:lang w:val="en-US"/>
              </w:rPr>
              <w:t>Reference:</w:t>
            </w:r>
          </w:p>
        </w:tc>
        <w:tc>
          <w:tcPr>
            <w:tcW w:w="6096" w:type="dxa"/>
            <w:shd w:val="clear" w:color="auto" w:fill="DBE4F0"/>
          </w:tcPr>
          <w:p w14:paraId="704C71D6" w14:textId="77777777" w:rsidR="002120C5" w:rsidRPr="002120C5" w:rsidRDefault="002120C5" w:rsidP="002120C5">
            <w:pPr>
              <w:widowControl w:val="0"/>
              <w:autoSpaceDE w:val="0"/>
              <w:autoSpaceDN w:val="0"/>
              <w:ind w:left="107"/>
              <w:rPr>
                <w:rFonts w:ascii="Arial" w:eastAsia="Arial" w:hAnsi="Arial" w:cs="Arial"/>
                <w:b/>
                <w:szCs w:val="22"/>
                <w:lang w:val="en-US"/>
              </w:rPr>
            </w:pPr>
            <w:r w:rsidRPr="002120C5">
              <w:rPr>
                <w:rFonts w:ascii="Arial" w:eastAsia="Arial" w:hAnsi="Arial" w:cs="Arial"/>
                <w:b/>
                <w:szCs w:val="22"/>
                <w:lang w:val="en-US"/>
              </w:rPr>
              <w:t>Pharmaceutical Services Regulations Committee</w:t>
            </w:r>
          </w:p>
        </w:tc>
      </w:tr>
      <w:tr w:rsidR="002120C5" w:rsidRPr="002120C5" w14:paraId="7C022F94" w14:textId="77777777" w:rsidTr="003033DD">
        <w:trPr>
          <w:trHeight w:val="633"/>
        </w:trPr>
        <w:tc>
          <w:tcPr>
            <w:tcW w:w="3828" w:type="dxa"/>
            <w:shd w:val="clear" w:color="auto" w:fill="DBE4F0"/>
          </w:tcPr>
          <w:p w14:paraId="15D5983F" w14:textId="77777777" w:rsidR="002120C5" w:rsidRPr="002120C5" w:rsidRDefault="002120C5" w:rsidP="002120C5">
            <w:pPr>
              <w:widowControl w:val="0"/>
              <w:autoSpaceDE w:val="0"/>
              <w:autoSpaceDN w:val="0"/>
              <w:spacing w:before="2"/>
              <w:ind w:left="107"/>
              <w:rPr>
                <w:rFonts w:ascii="Arial" w:eastAsia="Arial" w:hAnsi="Arial" w:cs="Arial"/>
                <w:b/>
                <w:szCs w:val="22"/>
                <w:lang w:val="en-US"/>
              </w:rPr>
            </w:pPr>
            <w:r w:rsidRPr="002120C5">
              <w:rPr>
                <w:rFonts w:ascii="Arial" w:eastAsia="Arial" w:hAnsi="Arial" w:cs="Arial"/>
                <w:b/>
                <w:szCs w:val="22"/>
                <w:lang w:val="en-US"/>
              </w:rPr>
              <w:t>Board / Committee Responsible</w:t>
            </w:r>
            <w:r w:rsidRPr="002120C5">
              <w:rPr>
                <w:rFonts w:ascii="Arial" w:eastAsia="Arial" w:hAnsi="Arial" w:cs="Arial"/>
                <w:b/>
                <w:spacing w:val="-17"/>
                <w:szCs w:val="22"/>
                <w:lang w:val="en-US"/>
              </w:rPr>
              <w:t xml:space="preserve"> </w:t>
            </w:r>
            <w:r w:rsidRPr="002120C5">
              <w:rPr>
                <w:rFonts w:ascii="Arial" w:eastAsia="Arial" w:hAnsi="Arial" w:cs="Arial"/>
                <w:b/>
                <w:szCs w:val="22"/>
                <w:lang w:val="en-US"/>
              </w:rPr>
              <w:t>for</w:t>
            </w:r>
            <w:r w:rsidRPr="002120C5">
              <w:rPr>
                <w:rFonts w:ascii="Arial" w:eastAsia="Arial" w:hAnsi="Arial" w:cs="Arial"/>
                <w:b/>
                <w:spacing w:val="-17"/>
                <w:szCs w:val="22"/>
                <w:lang w:val="en-US"/>
              </w:rPr>
              <w:t xml:space="preserve"> </w:t>
            </w:r>
            <w:r w:rsidRPr="002120C5">
              <w:rPr>
                <w:rFonts w:ascii="Arial" w:eastAsia="Arial" w:hAnsi="Arial" w:cs="Arial"/>
                <w:b/>
                <w:szCs w:val="22"/>
                <w:lang w:val="en-US"/>
              </w:rPr>
              <w:t>Ratifying:</w:t>
            </w:r>
          </w:p>
        </w:tc>
        <w:tc>
          <w:tcPr>
            <w:tcW w:w="6096" w:type="dxa"/>
            <w:shd w:val="clear" w:color="auto" w:fill="DBE4F0"/>
            <w:vAlign w:val="center"/>
          </w:tcPr>
          <w:p w14:paraId="3E3E6DAC" w14:textId="4B314198" w:rsidR="002120C5" w:rsidRPr="002120C5" w:rsidRDefault="002120C5" w:rsidP="002120C5">
            <w:pPr>
              <w:widowControl w:val="0"/>
              <w:autoSpaceDE w:val="0"/>
              <w:autoSpaceDN w:val="0"/>
              <w:spacing w:before="2"/>
              <w:ind w:left="107"/>
              <w:rPr>
                <w:rFonts w:ascii="Arial" w:eastAsia="Arial" w:hAnsi="Arial" w:cs="Arial"/>
                <w:b/>
                <w:szCs w:val="22"/>
                <w:lang w:val="en-US"/>
              </w:rPr>
            </w:pPr>
            <w:r w:rsidRPr="002120C5">
              <w:rPr>
                <w:rFonts w:ascii="Arial" w:eastAsia="Arial" w:hAnsi="Arial" w:cs="Arial"/>
                <w:b/>
                <w:szCs w:val="22"/>
                <w:lang w:val="en-US"/>
              </w:rPr>
              <w:t>HNY ICB Integrated Care Board</w:t>
            </w:r>
          </w:p>
        </w:tc>
      </w:tr>
      <w:tr w:rsidR="002120C5" w:rsidRPr="002120C5" w14:paraId="75A977EF" w14:textId="77777777" w:rsidTr="003033DD">
        <w:trPr>
          <w:trHeight w:val="414"/>
        </w:trPr>
        <w:tc>
          <w:tcPr>
            <w:tcW w:w="3828" w:type="dxa"/>
            <w:shd w:val="clear" w:color="auto" w:fill="DBE4F0"/>
          </w:tcPr>
          <w:p w14:paraId="7AE847A2" w14:textId="77777777" w:rsidR="002120C5" w:rsidRPr="002120C5" w:rsidRDefault="002120C5" w:rsidP="002120C5">
            <w:pPr>
              <w:widowControl w:val="0"/>
              <w:autoSpaceDE w:val="0"/>
              <w:autoSpaceDN w:val="0"/>
              <w:ind w:left="107"/>
              <w:rPr>
                <w:rFonts w:ascii="Arial" w:eastAsia="Arial" w:hAnsi="Arial" w:cs="Arial"/>
                <w:b/>
                <w:szCs w:val="22"/>
                <w:lang w:val="en-US"/>
              </w:rPr>
            </w:pPr>
            <w:r w:rsidRPr="002120C5">
              <w:rPr>
                <w:rFonts w:ascii="Arial" w:eastAsia="Arial" w:hAnsi="Arial" w:cs="Arial"/>
                <w:b/>
                <w:szCs w:val="22"/>
                <w:lang w:val="en-US"/>
              </w:rPr>
              <w:t>Approved</w:t>
            </w:r>
            <w:r w:rsidRPr="002120C5">
              <w:rPr>
                <w:rFonts w:ascii="Arial" w:eastAsia="Arial" w:hAnsi="Arial" w:cs="Arial"/>
                <w:b/>
                <w:spacing w:val="-5"/>
                <w:szCs w:val="22"/>
                <w:lang w:val="en-US"/>
              </w:rPr>
              <w:t xml:space="preserve"> </w:t>
            </w:r>
            <w:r w:rsidRPr="002120C5">
              <w:rPr>
                <w:rFonts w:ascii="Arial" w:eastAsia="Arial" w:hAnsi="Arial" w:cs="Arial"/>
                <w:b/>
                <w:spacing w:val="-2"/>
                <w:szCs w:val="22"/>
                <w:lang w:val="en-US"/>
              </w:rPr>
              <w:t>Date:</w:t>
            </w:r>
          </w:p>
        </w:tc>
        <w:tc>
          <w:tcPr>
            <w:tcW w:w="6096" w:type="dxa"/>
            <w:shd w:val="clear" w:color="auto" w:fill="DBE4F0"/>
          </w:tcPr>
          <w:p w14:paraId="3C111042" w14:textId="241C02BF" w:rsidR="002120C5" w:rsidRPr="002120C5" w:rsidRDefault="002120C5" w:rsidP="002120C5">
            <w:pPr>
              <w:widowControl w:val="0"/>
              <w:autoSpaceDE w:val="0"/>
              <w:autoSpaceDN w:val="0"/>
              <w:ind w:left="107"/>
              <w:rPr>
                <w:rFonts w:ascii="Arial" w:eastAsia="Arial" w:hAnsi="Arial" w:cs="Arial"/>
                <w:b/>
                <w:szCs w:val="22"/>
                <w:lang w:val="en-US"/>
              </w:rPr>
            </w:pPr>
            <w:r w:rsidRPr="002120C5">
              <w:rPr>
                <w:rFonts w:ascii="Arial" w:eastAsia="Arial" w:hAnsi="Arial" w:cs="Arial"/>
                <w:b/>
                <w:szCs w:val="22"/>
                <w:lang w:val="en-US"/>
              </w:rPr>
              <w:t>March 202</w:t>
            </w:r>
            <w:r w:rsidR="00965516">
              <w:rPr>
                <w:rFonts w:ascii="Arial" w:eastAsia="Arial" w:hAnsi="Arial" w:cs="Arial"/>
                <w:b/>
                <w:szCs w:val="22"/>
                <w:lang w:val="en-US"/>
              </w:rPr>
              <w:t>5</w:t>
            </w:r>
          </w:p>
        </w:tc>
      </w:tr>
      <w:tr w:rsidR="002120C5" w:rsidRPr="002120C5" w14:paraId="05858D39" w14:textId="77777777" w:rsidTr="003033DD">
        <w:trPr>
          <w:trHeight w:val="412"/>
        </w:trPr>
        <w:tc>
          <w:tcPr>
            <w:tcW w:w="3828" w:type="dxa"/>
            <w:shd w:val="clear" w:color="auto" w:fill="DBE4F0"/>
          </w:tcPr>
          <w:p w14:paraId="016B025D" w14:textId="77777777" w:rsidR="002120C5" w:rsidRPr="002120C5" w:rsidRDefault="002120C5" w:rsidP="002120C5">
            <w:pPr>
              <w:widowControl w:val="0"/>
              <w:autoSpaceDE w:val="0"/>
              <w:autoSpaceDN w:val="0"/>
              <w:ind w:left="107"/>
              <w:rPr>
                <w:rFonts w:ascii="Arial" w:eastAsia="Arial" w:hAnsi="Arial" w:cs="Arial"/>
                <w:b/>
                <w:szCs w:val="22"/>
                <w:lang w:val="en-US"/>
              </w:rPr>
            </w:pPr>
            <w:r w:rsidRPr="002120C5">
              <w:rPr>
                <w:rFonts w:ascii="Arial" w:eastAsia="Arial" w:hAnsi="Arial" w:cs="Arial"/>
                <w:b/>
                <w:szCs w:val="22"/>
                <w:lang w:val="en-US"/>
              </w:rPr>
              <w:t>Ratified Date:</w:t>
            </w:r>
          </w:p>
        </w:tc>
        <w:tc>
          <w:tcPr>
            <w:tcW w:w="6096" w:type="dxa"/>
            <w:shd w:val="clear" w:color="auto" w:fill="DBE4F0"/>
          </w:tcPr>
          <w:p w14:paraId="01466B0D" w14:textId="7BC90609" w:rsidR="002120C5" w:rsidRPr="002120C5" w:rsidRDefault="004A327C" w:rsidP="002120C5">
            <w:pPr>
              <w:widowControl w:val="0"/>
              <w:autoSpaceDE w:val="0"/>
              <w:autoSpaceDN w:val="0"/>
              <w:ind w:left="107"/>
              <w:rPr>
                <w:rFonts w:ascii="Arial" w:eastAsia="Arial" w:hAnsi="Arial" w:cs="Arial"/>
                <w:b/>
                <w:szCs w:val="22"/>
                <w:lang w:val="en-US"/>
              </w:rPr>
            </w:pPr>
            <w:r>
              <w:rPr>
                <w:rFonts w:ascii="Arial" w:eastAsia="Arial" w:hAnsi="Arial" w:cs="Arial"/>
                <w:b/>
                <w:szCs w:val="22"/>
                <w:lang w:val="en-US"/>
              </w:rPr>
              <w:t>July 2025</w:t>
            </w:r>
          </w:p>
        </w:tc>
      </w:tr>
      <w:tr w:rsidR="002120C5" w:rsidRPr="002120C5" w14:paraId="6B8D9556" w14:textId="77777777" w:rsidTr="003033DD">
        <w:trPr>
          <w:trHeight w:val="412"/>
        </w:trPr>
        <w:tc>
          <w:tcPr>
            <w:tcW w:w="3828" w:type="dxa"/>
            <w:shd w:val="clear" w:color="auto" w:fill="DBE4F0"/>
          </w:tcPr>
          <w:p w14:paraId="6F8764DC" w14:textId="77777777" w:rsidR="002120C5" w:rsidRPr="002120C5" w:rsidRDefault="002120C5" w:rsidP="002120C5">
            <w:pPr>
              <w:widowControl w:val="0"/>
              <w:autoSpaceDE w:val="0"/>
              <w:autoSpaceDN w:val="0"/>
              <w:ind w:left="107"/>
              <w:rPr>
                <w:rFonts w:ascii="Arial" w:eastAsia="Arial" w:hAnsi="Arial" w:cs="Arial"/>
                <w:b/>
                <w:szCs w:val="22"/>
                <w:lang w:val="en-US"/>
              </w:rPr>
            </w:pPr>
            <w:r w:rsidRPr="002120C5">
              <w:rPr>
                <w:rFonts w:ascii="Arial" w:eastAsia="Arial" w:hAnsi="Arial" w:cs="Arial"/>
                <w:b/>
                <w:szCs w:val="22"/>
                <w:lang w:val="en-US"/>
              </w:rPr>
              <w:t>Review</w:t>
            </w:r>
            <w:r w:rsidRPr="002120C5">
              <w:rPr>
                <w:rFonts w:ascii="Arial" w:eastAsia="Arial" w:hAnsi="Arial" w:cs="Arial"/>
                <w:b/>
                <w:spacing w:val="-9"/>
                <w:szCs w:val="22"/>
                <w:lang w:val="en-US"/>
              </w:rPr>
              <w:t xml:space="preserve"> </w:t>
            </w:r>
            <w:r w:rsidRPr="002120C5">
              <w:rPr>
                <w:rFonts w:ascii="Arial" w:eastAsia="Arial" w:hAnsi="Arial" w:cs="Arial"/>
                <w:b/>
                <w:spacing w:val="-2"/>
                <w:szCs w:val="22"/>
                <w:lang w:val="en-US"/>
              </w:rPr>
              <w:t>Date:</w:t>
            </w:r>
          </w:p>
        </w:tc>
        <w:tc>
          <w:tcPr>
            <w:tcW w:w="6096" w:type="dxa"/>
            <w:shd w:val="clear" w:color="auto" w:fill="DBE4F0"/>
          </w:tcPr>
          <w:p w14:paraId="38353060" w14:textId="4B47ED49" w:rsidR="002120C5" w:rsidRPr="002120C5" w:rsidRDefault="00965516" w:rsidP="002120C5">
            <w:pPr>
              <w:widowControl w:val="0"/>
              <w:autoSpaceDE w:val="0"/>
              <w:autoSpaceDN w:val="0"/>
              <w:ind w:left="107"/>
              <w:rPr>
                <w:rFonts w:ascii="Arial" w:eastAsia="Arial" w:hAnsi="Arial" w:cs="Arial"/>
                <w:b/>
                <w:szCs w:val="22"/>
                <w:lang w:val="en-US"/>
              </w:rPr>
            </w:pPr>
            <w:r>
              <w:rPr>
                <w:rFonts w:ascii="Arial" w:eastAsia="Arial" w:hAnsi="Arial" w:cs="Arial"/>
                <w:b/>
                <w:szCs w:val="22"/>
                <w:lang w:val="en-US"/>
              </w:rPr>
              <w:t>March 2026</w:t>
            </w:r>
          </w:p>
        </w:tc>
      </w:tr>
      <w:tr w:rsidR="002120C5" w:rsidRPr="002120C5" w14:paraId="08B993A8" w14:textId="77777777" w:rsidTr="003033DD">
        <w:trPr>
          <w:trHeight w:val="415"/>
        </w:trPr>
        <w:tc>
          <w:tcPr>
            <w:tcW w:w="3828" w:type="dxa"/>
            <w:shd w:val="clear" w:color="auto" w:fill="DBE4F0"/>
          </w:tcPr>
          <w:p w14:paraId="31A6E281" w14:textId="77777777" w:rsidR="002120C5" w:rsidRPr="002120C5" w:rsidRDefault="002120C5" w:rsidP="002120C5">
            <w:pPr>
              <w:widowControl w:val="0"/>
              <w:autoSpaceDE w:val="0"/>
              <w:autoSpaceDN w:val="0"/>
              <w:ind w:left="107"/>
              <w:rPr>
                <w:rFonts w:ascii="Arial" w:eastAsia="Arial" w:hAnsi="Arial" w:cs="Arial"/>
                <w:b/>
                <w:szCs w:val="22"/>
                <w:lang w:val="en-US"/>
              </w:rPr>
            </w:pPr>
            <w:r w:rsidRPr="002120C5">
              <w:rPr>
                <w:rFonts w:ascii="Arial" w:eastAsia="Arial" w:hAnsi="Arial" w:cs="Arial"/>
                <w:b/>
                <w:szCs w:val="22"/>
                <w:lang w:val="en-US"/>
              </w:rPr>
              <w:t>Version</w:t>
            </w:r>
            <w:r w:rsidRPr="002120C5">
              <w:rPr>
                <w:rFonts w:ascii="Arial" w:eastAsia="Arial" w:hAnsi="Arial" w:cs="Arial"/>
                <w:b/>
                <w:spacing w:val="-1"/>
                <w:szCs w:val="22"/>
                <w:lang w:val="en-US"/>
              </w:rPr>
              <w:t xml:space="preserve"> </w:t>
            </w:r>
            <w:r w:rsidRPr="002120C5">
              <w:rPr>
                <w:rFonts w:ascii="Arial" w:eastAsia="Arial" w:hAnsi="Arial" w:cs="Arial"/>
                <w:b/>
                <w:spacing w:val="-2"/>
                <w:szCs w:val="22"/>
                <w:lang w:val="en-US"/>
              </w:rPr>
              <w:t>Number:</w:t>
            </w:r>
          </w:p>
        </w:tc>
        <w:tc>
          <w:tcPr>
            <w:tcW w:w="6096" w:type="dxa"/>
            <w:shd w:val="clear" w:color="auto" w:fill="DBE4F0"/>
          </w:tcPr>
          <w:p w14:paraId="6A4C35D1" w14:textId="77777777" w:rsidR="002120C5" w:rsidRPr="002120C5" w:rsidRDefault="002120C5" w:rsidP="002120C5">
            <w:pPr>
              <w:widowControl w:val="0"/>
              <w:autoSpaceDE w:val="0"/>
              <w:autoSpaceDN w:val="0"/>
              <w:ind w:left="107"/>
              <w:rPr>
                <w:rFonts w:ascii="Arial" w:eastAsia="Arial" w:hAnsi="Arial" w:cs="Arial"/>
                <w:b/>
                <w:szCs w:val="22"/>
                <w:lang w:val="en-US"/>
              </w:rPr>
            </w:pPr>
            <w:r w:rsidRPr="002120C5">
              <w:rPr>
                <w:rFonts w:ascii="Arial" w:eastAsia="Arial" w:hAnsi="Arial" w:cs="Arial"/>
                <w:b/>
                <w:spacing w:val="-5"/>
                <w:szCs w:val="22"/>
                <w:lang w:val="en-US"/>
              </w:rPr>
              <w:t>2.0</w:t>
            </w:r>
          </w:p>
        </w:tc>
      </w:tr>
      <w:tr w:rsidR="002120C5" w:rsidRPr="002120C5" w14:paraId="1FB45405" w14:textId="77777777" w:rsidTr="002120C5">
        <w:trPr>
          <w:trHeight w:val="415"/>
        </w:trPr>
        <w:tc>
          <w:tcPr>
            <w:tcW w:w="9924" w:type="dxa"/>
            <w:gridSpan w:val="2"/>
            <w:shd w:val="clear" w:color="auto" w:fill="DBE4F0"/>
          </w:tcPr>
          <w:p w14:paraId="526249C1" w14:textId="77777777" w:rsidR="002120C5" w:rsidRPr="002120C5" w:rsidRDefault="002120C5" w:rsidP="002120C5">
            <w:pPr>
              <w:widowControl w:val="0"/>
              <w:autoSpaceDE w:val="0"/>
              <w:autoSpaceDN w:val="0"/>
              <w:ind w:left="107"/>
              <w:jc w:val="center"/>
              <w:rPr>
                <w:rFonts w:ascii="Arial" w:eastAsia="Arial" w:hAnsi="Arial" w:cs="Arial"/>
                <w:b/>
                <w:spacing w:val="-5"/>
                <w:szCs w:val="22"/>
                <w:lang w:val="en-US"/>
              </w:rPr>
            </w:pPr>
            <w:r w:rsidRPr="002120C5">
              <w:rPr>
                <w:rFonts w:ascii="Arial" w:eastAsia="Arial" w:hAnsi="Arial" w:cs="Arial"/>
                <w:b/>
                <w:sz w:val="20"/>
                <w:szCs w:val="22"/>
                <w:lang w:val="en-US"/>
              </w:rPr>
              <w:t>The</w:t>
            </w:r>
            <w:r w:rsidRPr="002120C5">
              <w:rPr>
                <w:rFonts w:ascii="Arial" w:eastAsia="Arial" w:hAnsi="Arial" w:cs="Arial"/>
                <w:b/>
                <w:spacing w:val="-4"/>
                <w:sz w:val="20"/>
                <w:szCs w:val="22"/>
                <w:lang w:val="en-US"/>
              </w:rPr>
              <w:t xml:space="preserve"> </w:t>
            </w:r>
            <w:r w:rsidRPr="002120C5">
              <w:rPr>
                <w:rFonts w:ascii="Arial" w:eastAsia="Arial" w:hAnsi="Arial" w:cs="Arial"/>
                <w:b/>
                <w:sz w:val="20"/>
                <w:szCs w:val="22"/>
                <w:lang w:val="en-US"/>
              </w:rPr>
              <w:t>online</w:t>
            </w:r>
            <w:r w:rsidRPr="002120C5">
              <w:rPr>
                <w:rFonts w:ascii="Arial" w:eastAsia="Arial" w:hAnsi="Arial" w:cs="Arial"/>
                <w:b/>
                <w:spacing w:val="-4"/>
                <w:sz w:val="20"/>
                <w:szCs w:val="22"/>
                <w:lang w:val="en-US"/>
              </w:rPr>
              <w:t xml:space="preserve"> </w:t>
            </w:r>
            <w:r w:rsidRPr="002120C5">
              <w:rPr>
                <w:rFonts w:ascii="Arial" w:eastAsia="Arial" w:hAnsi="Arial" w:cs="Arial"/>
                <w:b/>
                <w:sz w:val="20"/>
                <w:szCs w:val="22"/>
                <w:lang w:val="en-US"/>
              </w:rPr>
              <w:t>version</w:t>
            </w:r>
            <w:r w:rsidRPr="002120C5">
              <w:rPr>
                <w:rFonts w:ascii="Arial" w:eastAsia="Arial" w:hAnsi="Arial" w:cs="Arial"/>
                <w:b/>
                <w:spacing w:val="-1"/>
                <w:sz w:val="20"/>
                <w:szCs w:val="22"/>
                <w:lang w:val="en-US"/>
              </w:rPr>
              <w:t xml:space="preserve"> </w:t>
            </w:r>
            <w:r w:rsidRPr="002120C5">
              <w:rPr>
                <w:rFonts w:ascii="Arial" w:eastAsia="Arial" w:hAnsi="Arial" w:cs="Arial"/>
                <w:b/>
                <w:sz w:val="20"/>
                <w:szCs w:val="22"/>
                <w:lang w:val="en-US"/>
              </w:rPr>
              <w:t>is</w:t>
            </w:r>
            <w:r w:rsidRPr="002120C5">
              <w:rPr>
                <w:rFonts w:ascii="Arial" w:eastAsia="Arial" w:hAnsi="Arial" w:cs="Arial"/>
                <w:b/>
                <w:spacing w:val="-4"/>
                <w:sz w:val="20"/>
                <w:szCs w:val="22"/>
                <w:lang w:val="en-US"/>
              </w:rPr>
              <w:t xml:space="preserve"> </w:t>
            </w:r>
            <w:r w:rsidRPr="002120C5">
              <w:rPr>
                <w:rFonts w:ascii="Arial" w:eastAsia="Arial" w:hAnsi="Arial" w:cs="Arial"/>
                <w:b/>
                <w:sz w:val="20"/>
                <w:szCs w:val="22"/>
                <w:lang w:val="en-US"/>
              </w:rPr>
              <w:t>the</w:t>
            </w:r>
            <w:r w:rsidRPr="002120C5">
              <w:rPr>
                <w:rFonts w:ascii="Arial" w:eastAsia="Arial" w:hAnsi="Arial" w:cs="Arial"/>
                <w:b/>
                <w:spacing w:val="-2"/>
                <w:sz w:val="20"/>
                <w:szCs w:val="22"/>
                <w:lang w:val="en-US"/>
              </w:rPr>
              <w:t xml:space="preserve"> </w:t>
            </w:r>
            <w:r w:rsidRPr="002120C5">
              <w:rPr>
                <w:rFonts w:ascii="Arial" w:eastAsia="Arial" w:hAnsi="Arial" w:cs="Arial"/>
                <w:b/>
                <w:sz w:val="20"/>
                <w:szCs w:val="22"/>
                <w:lang w:val="en-US"/>
              </w:rPr>
              <w:t>only</w:t>
            </w:r>
            <w:r w:rsidRPr="002120C5">
              <w:rPr>
                <w:rFonts w:ascii="Arial" w:eastAsia="Arial" w:hAnsi="Arial" w:cs="Arial"/>
                <w:b/>
                <w:spacing w:val="-4"/>
                <w:sz w:val="20"/>
                <w:szCs w:val="22"/>
                <w:lang w:val="en-US"/>
              </w:rPr>
              <w:t xml:space="preserve"> </w:t>
            </w:r>
            <w:r w:rsidRPr="002120C5">
              <w:rPr>
                <w:rFonts w:ascii="Arial" w:eastAsia="Arial" w:hAnsi="Arial" w:cs="Arial"/>
                <w:b/>
                <w:sz w:val="20"/>
                <w:szCs w:val="22"/>
                <w:lang w:val="en-US"/>
              </w:rPr>
              <w:t>version</w:t>
            </w:r>
            <w:r w:rsidRPr="002120C5">
              <w:rPr>
                <w:rFonts w:ascii="Arial" w:eastAsia="Arial" w:hAnsi="Arial" w:cs="Arial"/>
                <w:b/>
                <w:spacing w:val="-3"/>
                <w:sz w:val="20"/>
                <w:szCs w:val="22"/>
                <w:lang w:val="en-US"/>
              </w:rPr>
              <w:t xml:space="preserve"> </w:t>
            </w:r>
            <w:r w:rsidRPr="002120C5">
              <w:rPr>
                <w:rFonts w:ascii="Arial" w:eastAsia="Arial" w:hAnsi="Arial" w:cs="Arial"/>
                <w:b/>
                <w:sz w:val="20"/>
                <w:szCs w:val="22"/>
                <w:lang w:val="en-US"/>
              </w:rPr>
              <w:t>that</w:t>
            </w:r>
            <w:r w:rsidRPr="002120C5">
              <w:rPr>
                <w:rFonts w:ascii="Arial" w:eastAsia="Arial" w:hAnsi="Arial" w:cs="Arial"/>
                <w:b/>
                <w:spacing w:val="-4"/>
                <w:sz w:val="20"/>
                <w:szCs w:val="22"/>
                <w:lang w:val="en-US"/>
              </w:rPr>
              <w:t xml:space="preserve"> </w:t>
            </w:r>
            <w:r w:rsidRPr="002120C5">
              <w:rPr>
                <w:rFonts w:ascii="Arial" w:eastAsia="Arial" w:hAnsi="Arial" w:cs="Arial"/>
                <w:b/>
                <w:sz w:val="20"/>
                <w:szCs w:val="22"/>
                <w:lang w:val="en-US"/>
              </w:rPr>
              <w:t>is</w:t>
            </w:r>
            <w:r w:rsidRPr="002120C5">
              <w:rPr>
                <w:rFonts w:ascii="Arial" w:eastAsia="Arial" w:hAnsi="Arial" w:cs="Arial"/>
                <w:b/>
                <w:spacing w:val="-2"/>
                <w:sz w:val="20"/>
                <w:szCs w:val="22"/>
                <w:lang w:val="en-US"/>
              </w:rPr>
              <w:t xml:space="preserve"> </w:t>
            </w:r>
            <w:r w:rsidRPr="002120C5">
              <w:rPr>
                <w:rFonts w:ascii="Arial" w:eastAsia="Arial" w:hAnsi="Arial" w:cs="Arial"/>
                <w:b/>
                <w:sz w:val="20"/>
                <w:szCs w:val="22"/>
                <w:lang w:val="en-US"/>
              </w:rPr>
              <w:t>maintained.</w:t>
            </w:r>
            <w:r w:rsidRPr="002120C5">
              <w:rPr>
                <w:rFonts w:ascii="Arial" w:eastAsia="Arial" w:hAnsi="Arial" w:cs="Arial"/>
                <w:b/>
                <w:spacing w:val="40"/>
                <w:sz w:val="20"/>
                <w:szCs w:val="22"/>
                <w:lang w:val="en-US"/>
              </w:rPr>
              <w:t xml:space="preserve"> </w:t>
            </w:r>
            <w:r w:rsidRPr="002120C5">
              <w:rPr>
                <w:rFonts w:ascii="Arial" w:eastAsia="Arial" w:hAnsi="Arial" w:cs="Arial"/>
                <w:b/>
                <w:sz w:val="20"/>
                <w:szCs w:val="22"/>
                <w:lang w:val="en-US"/>
              </w:rPr>
              <w:t>Any</w:t>
            </w:r>
            <w:r w:rsidRPr="002120C5">
              <w:rPr>
                <w:rFonts w:ascii="Arial" w:eastAsia="Arial" w:hAnsi="Arial" w:cs="Arial"/>
                <w:b/>
                <w:spacing w:val="-4"/>
                <w:sz w:val="20"/>
                <w:szCs w:val="22"/>
                <w:lang w:val="en-US"/>
              </w:rPr>
              <w:t xml:space="preserve"> </w:t>
            </w:r>
            <w:r w:rsidRPr="002120C5">
              <w:rPr>
                <w:rFonts w:ascii="Arial" w:eastAsia="Arial" w:hAnsi="Arial" w:cs="Arial"/>
                <w:b/>
                <w:sz w:val="20"/>
                <w:szCs w:val="22"/>
                <w:lang w:val="en-US"/>
              </w:rPr>
              <w:t>printed</w:t>
            </w:r>
            <w:r w:rsidRPr="002120C5">
              <w:rPr>
                <w:rFonts w:ascii="Arial" w:eastAsia="Arial" w:hAnsi="Arial" w:cs="Arial"/>
                <w:b/>
                <w:spacing w:val="-1"/>
                <w:sz w:val="20"/>
                <w:szCs w:val="22"/>
                <w:lang w:val="en-US"/>
              </w:rPr>
              <w:t xml:space="preserve"> </w:t>
            </w:r>
            <w:r w:rsidRPr="002120C5">
              <w:rPr>
                <w:rFonts w:ascii="Arial" w:eastAsia="Arial" w:hAnsi="Arial" w:cs="Arial"/>
                <w:b/>
                <w:sz w:val="20"/>
                <w:szCs w:val="22"/>
                <w:lang w:val="en-US"/>
              </w:rPr>
              <w:t>copies</w:t>
            </w:r>
            <w:r w:rsidRPr="002120C5">
              <w:rPr>
                <w:rFonts w:ascii="Arial" w:eastAsia="Arial" w:hAnsi="Arial" w:cs="Arial"/>
                <w:b/>
                <w:spacing w:val="-4"/>
                <w:sz w:val="20"/>
                <w:szCs w:val="22"/>
                <w:lang w:val="en-US"/>
              </w:rPr>
              <w:t xml:space="preserve"> </w:t>
            </w:r>
            <w:r w:rsidRPr="002120C5">
              <w:rPr>
                <w:rFonts w:ascii="Arial" w:eastAsia="Arial" w:hAnsi="Arial" w:cs="Arial"/>
                <w:b/>
                <w:sz w:val="20"/>
                <w:szCs w:val="22"/>
                <w:lang w:val="en-US"/>
              </w:rPr>
              <w:t>should, therefore,</w:t>
            </w:r>
            <w:r w:rsidRPr="002120C5">
              <w:rPr>
                <w:rFonts w:ascii="Arial" w:eastAsia="Arial" w:hAnsi="Arial" w:cs="Arial"/>
                <w:b/>
                <w:spacing w:val="-5"/>
                <w:sz w:val="20"/>
                <w:szCs w:val="22"/>
                <w:lang w:val="en-US"/>
              </w:rPr>
              <w:t xml:space="preserve"> </w:t>
            </w:r>
            <w:r w:rsidRPr="002120C5">
              <w:rPr>
                <w:rFonts w:ascii="Arial" w:eastAsia="Arial" w:hAnsi="Arial" w:cs="Arial"/>
                <w:b/>
                <w:sz w:val="20"/>
                <w:szCs w:val="22"/>
                <w:lang w:val="en-US"/>
              </w:rPr>
              <w:t>be</w:t>
            </w:r>
            <w:r w:rsidRPr="002120C5">
              <w:rPr>
                <w:rFonts w:ascii="Arial" w:eastAsia="Arial" w:hAnsi="Arial" w:cs="Arial"/>
                <w:b/>
                <w:spacing w:val="-4"/>
                <w:sz w:val="20"/>
                <w:szCs w:val="22"/>
                <w:lang w:val="en-US"/>
              </w:rPr>
              <w:t xml:space="preserve"> </w:t>
            </w:r>
            <w:r w:rsidRPr="002120C5">
              <w:rPr>
                <w:rFonts w:ascii="Arial" w:eastAsia="Arial" w:hAnsi="Arial" w:cs="Arial"/>
                <w:b/>
                <w:sz w:val="20"/>
                <w:szCs w:val="22"/>
                <w:lang w:val="en-US"/>
              </w:rPr>
              <w:t>viewed as ‘uncontrolled’ and as such may not necessarily contain the latest updates and amendments.</w:t>
            </w:r>
          </w:p>
        </w:tc>
      </w:tr>
    </w:tbl>
    <w:p w14:paraId="0F49C9D9" w14:textId="32EB50B7" w:rsidR="002B4612" w:rsidRDefault="002B4612" w:rsidP="006C5DFE">
      <w:pPr>
        <w:spacing w:before="240" w:after="160" w:line="259" w:lineRule="auto"/>
        <w:ind w:left="559" w:right="598"/>
        <w:jc w:val="center"/>
        <w:rPr>
          <w:rFonts w:ascii="Arial" w:eastAsiaTheme="minorHAnsi" w:hAnsi="Arial" w:cs="Arial"/>
          <w:b/>
          <w:sz w:val="44"/>
          <w:szCs w:val="44"/>
        </w:rPr>
      </w:pPr>
    </w:p>
    <w:p w14:paraId="0884464A" w14:textId="77777777" w:rsidR="002B4612" w:rsidRDefault="002B4612">
      <w:pPr>
        <w:rPr>
          <w:rFonts w:ascii="Arial" w:eastAsiaTheme="minorHAnsi" w:hAnsi="Arial" w:cs="Arial"/>
          <w:b/>
          <w:sz w:val="44"/>
          <w:szCs w:val="44"/>
        </w:rPr>
      </w:pPr>
      <w:r>
        <w:rPr>
          <w:rFonts w:ascii="Arial" w:eastAsiaTheme="minorHAnsi" w:hAnsi="Arial" w:cs="Arial"/>
          <w:b/>
          <w:sz w:val="44"/>
          <w:szCs w:val="44"/>
        </w:rPr>
        <w:br w:type="page"/>
      </w:r>
    </w:p>
    <w:p w14:paraId="1333525C" w14:textId="2970B991" w:rsidR="006C5DFE" w:rsidRDefault="00B64556" w:rsidP="00B64556">
      <w:pPr>
        <w:spacing w:before="240" w:after="160" w:line="259" w:lineRule="auto"/>
        <w:ind w:right="-46"/>
        <w:rPr>
          <w:rFonts w:ascii="Arial" w:eastAsiaTheme="minorHAnsi" w:hAnsi="Arial" w:cs="Arial"/>
          <w:b/>
        </w:rPr>
      </w:pPr>
      <w:r>
        <w:rPr>
          <w:rFonts w:ascii="Arial" w:eastAsiaTheme="minorHAnsi" w:hAnsi="Arial" w:cs="Arial"/>
          <w:b/>
        </w:rPr>
        <w:lastRenderedPageBreak/>
        <w:t>Introduction and Governance</w:t>
      </w:r>
    </w:p>
    <w:p w14:paraId="2AF6942A" w14:textId="77777777" w:rsidR="001E0F2E" w:rsidRDefault="001E0F2E" w:rsidP="004A327C">
      <w:pPr>
        <w:pStyle w:val="ListParagraph"/>
        <w:numPr>
          <w:ilvl w:val="0"/>
          <w:numId w:val="1"/>
        </w:numPr>
        <w:spacing w:before="240" w:after="160" w:line="259" w:lineRule="auto"/>
        <w:ind w:right="-46"/>
        <w:jc w:val="both"/>
        <w:rPr>
          <w:rFonts w:ascii="Arial" w:eastAsiaTheme="minorHAnsi" w:hAnsi="Arial" w:cs="Arial"/>
          <w:bCs/>
        </w:rPr>
      </w:pPr>
      <w:r w:rsidRPr="001E0F2E">
        <w:rPr>
          <w:rFonts w:ascii="Arial" w:eastAsiaTheme="minorHAnsi" w:hAnsi="Arial" w:cs="Arial"/>
          <w:bCs/>
        </w:rPr>
        <w:t>In accordance with the Health and Care Act 2022 NHS England has delegated the exercise of pharmaceutical services and local pharmaceutical services functions to Humber and North Yorkshire Integrated Care Board (ICB), from the 1 April 2023.</w:t>
      </w:r>
    </w:p>
    <w:p w14:paraId="7972CBFF" w14:textId="77777777" w:rsidR="001E0F2E" w:rsidRDefault="001E0F2E" w:rsidP="004A327C">
      <w:pPr>
        <w:pStyle w:val="ListParagraph"/>
        <w:spacing w:before="240" w:after="160" w:line="259" w:lineRule="auto"/>
        <w:ind w:right="-46"/>
        <w:jc w:val="both"/>
        <w:rPr>
          <w:rFonts w:ascii="Arial" w:eastAsiaTheme="minorHAnsi" w:hAnsi="Arial" w:cs="Arial"/>
          <w:bCs/>
        </w:rPr>
      </w:pPr>
    </w:p>
    <w:p w14:paraId="6B7EC836" w14:textId="77777777" w:rsidR="001E0F2E" w:rsidRDefault="001E0F2E" w:rsidP="004A327C">
      <w:pPr>
        <w:pStyle w:val="ListParagraph"/>
        <w:numPr>
          <w:ilvl w:val="0"/>
          <w:numId w:val="1"/>
        </w:numPr>
        <w:spacing w:before="240" w:after="160" w:line="259" w:lineRule="auto"/>
        <w:ind w:right="-46"/>
        <w:jc w:val="both"/>
        <w:rPr>
          <w:rFonts w:ascii="Arial" w:eastAsiaTheme="minorHAnsi" w:hAnsi="Arial" w:cs="Arial"/>
          <w:bCs/>
        </w:rPr>
      </w:pPr>
      <w:r w:rsidRPr="001E0F2E">
        <w:rPr>
          <w:rFonts w:ascii="Arial" w:eastAsiaTheme="minorHAnsi" w:hAnsi="Arial" w:cs="Arial"/>
          <w:bCs/>
        </w:rPr>
        <w:t xml:space="preserve">In accordance with the National Health Service (Pharmaceutical and Local Pharmaceutical Services) Regulations 2013, as amended (‘the Regulations’), each ICB will establish a Pharmaceutical Services Regulations Committee (PSRC) to make decisions in relation to matters under the Regulations listed in Chapter 3 of the Pharmacy Manual where the decision maker is listed as ‘the committee’. </w:t>
      </w:r>
    </w:p>
    <w:p w14:paraId="79D3B16E" w14:textId="77777777" w:rsidR="001E0F2E" w:rsidRPr="001E0F2E" w:rsidRDefault="001E0F2E" w:rsidP="004A327C">
      <w:pPr>
        <w:pStyle w:val="ListParagraph"/>
        <w:jc w:val="both"/>
        <w:rPr>
          <w:rFonts w:ascii="Arial" w:eastAsiaTheme="minorHAnsi" w:hAnsi="Arial" w:cs="Arial"/>
          <w:bCs/>
        </w:rPr>
      </w:pPr>
    </w:p>
    <w:p w14:paraId="561511F9" w14:textId="77777777" w:rsidR="001E0F2E" w:rsidRDefault="001E0F2E" w:rsidP="004A327C">
      <w:pPr>
        <w:pStyle w:val="ListParagraph"/>
        <w:numPr>
          <w:ilvl w:val="0"/>
          <w:numId w:val="1"/>
        </w:numPr>
        <w:spacing w:before="240" w:after="160" w:line="259" w:lineRule="auto"/>
        <w:ind w:right="-46"/>
        <w:jc w:val="both"/>
        <w:rPr>
          <w:rFonts w:ascii="Arial" w:eastAsiaTheme="minorHAnsi" w:hAnsi="Arial" w:cs="Arial"/>
          <w:bCs/>
        </w:rPr>
      </w:pPr>
      <w:r w:rsidRPr="001E0F2E">
        <w:rPr>
          <w:rFonts w:ascii="Arial" w:eastAsiaTheme="minorHAnsi" w:hAnsi="Arial" w:cs="Arial"/>
          <w:bCs/>
        </w:rPr>
        <w:t>For the purpose of this document, ‘the committee’ or ‘committee’ is the PSRC.</w:t>
      </w:r>
    </w:p>
    <w:p w14:paraId="015F5D38" w14:textId="77777777" w:rsidR="001E0F2E" w:rsidRPr="001E0F2E" w:rsidRDefault="001E0F2E" w:rsidP="004A327C">
      <w:pPr>
        <w:pStyle w:val="ListParagraph"/>
        <w:jc w:val="both"/>
        <w:rPr>
          <w:rFonts w:ascii="Arial" w:eastAsiaTheme="minorHAnsi" w:hAnsi="Arial" w:cs="Arial"/>
          <w:bCs/>
        </w:rPr>
      </w:pPr>
    </w:p>
    <w:p w14:paraId="08A0753A" w14:textId="77777777" w:rsidR="001E0F2E" w:rsidRDefault="001E0F2E" w:rsidP="004A327C">
      <w:pPr>
        <w:pStyle w:val="ListParagraph"/>
        <w:numPr>
          <w:ilvl w:val="0"/>
          <w:numId w:val="1"/>
        </w:numPr>
        <w:spacing w:before="240" w:after="160" w:line="259" w:lineRule="auto"/>
        <w:ind w:right="-46"/>
        <w:jc w:val="both"/>
        <w:rPr>
          <w:rFonts w:ascii="Arial" w:eastAsiaTheme="minorHAnsi" w:hAnsi="Arial" w:cs="Arial"/>
          <w:bCs/>
        </w:rPr>
      </w:pPr>
      <w:r w:rsidRPr="001E0F2E">
        <w:rPr>
          <w:rFonts w:ascii="Arial" w:eastAsiaTheme="minorHAnsi" w:hAnsi="Arial" w:cs="Arial"/>
          <w:bCs/>
        </w:rPr>
        <w:t>ICBs are required to establish committees that are the equivalent of NHS England’s PSRCs. Where such a committee is established and is properly constituted in line with the Regulations, it is authorised by NHS England to undertake any activity within these terms of reference.</w:t>
      </w:r>
    </w:p>
    <w:p w14:paraId="0EBDDEF5" w14:textId="77777777" w:rsidR="001E0F2E" w:rsidRPr="001E0F2E" w:rsidRDefault="001E0F2E" w:rsidP="004A327C">
      <w:pPr>
        <w:pStyle w:val="ListParagraph"/>
        <w:jc w:val="both"/>
        <w:rPr>
          <w:rFonts w:ascii="Arial" w:eastAsiaTheme="minorHAnsi" w:hAnsi="Arial" w:cs="Arial"/>
          <w:bCs/>
        </w:rPr>
      </w:pPr>
    </w:p>
    <w:p w14:paraId="3598621A" w14:textId="77777777" w:rsidR="001E0F2E" w:rsidRDefault="001E0F2E" w:rsidP="004A327C">
      <w:pPr>
        <w:pStyle w:val="ListParagraph"/>
        <w:numPr>
          <w:ilvl w:val="0"/>
          <w:numId w:val="1"/>
        </w:numPr>
        <w:spacing w:before="240" w:after="160" w:line="259" w:lineRule="auto"/>
        <w:ind w:right="-46"/>
        <w:jc w:val="both"/>
        <w:rPr>
          <w:rFonts w:ascii="Arial" w:eastAsiaTheme="minorHAnsi" w:hAnsi="Arial" w:cs="Arial"/>
          <w:bCs/>
        </w:rPr>
      </w:pPr>
      <w:r w:rsidRPr="001E0F2E">
        <w:rPr>
          <w:rFonts w:ascii="Arial" w:eastAsiaTheme="minorHAnsi" w:hAnsi="Arial" w:cs="Arial"/>
          <w:bCs/>
        </w:rPr>
        <w:t>NHS England has delegated decision-making to each committee in relation to matters under the Regulations listed in this chapter where the decision-maker is listed as the committee.</w:t>
      </w:r>
    </w:p>
    <w:p w14:paraId="31F8431B" w14:textId="77777777" w:rsidR="001E0F2E" w:rsidRPr="001E0F2E" w:rsidRDefault="001E0F2E" w:rsidP="004A327C">
      <w:pPr>
        <w:pStyle w:val="ListParagraph"/>
        <w:jc w:val="both"/>
        <w:rPr>
          <w:rFonts w:ascii="Arial" w:eastAsiaTheme="minorHAnsi" w:hAnsi="Arial" w:cs="Arial"/>
          <w:bCs/>
        </w:rPr>
      </w:pPr>
    </w:p>
    <w:p w14:paraId="59D7C776" w14:textId="77777777" w:rsidR="001E0F2E" w:rsidRDefault="001E0F2E" w:rsidP="004A327C">
      <w:pPr>
        <w:pStyle w:val="ListParagraph"/>
        <w:numPr>
          <w:ilvl w:val="0"/>
          <w:numId w:val="1"/>
        </w:numPr>
        <w:spacing w:before="240" w:after="160" w:line="259" w:lineRule="auto"/>
        <w:ind w:right="-46"/>
        <w:jc w:val="both"/>
        <w:rPr>
          <w:rFonts w:ascii="Arial" w:eastAsiaTheme="minorHAnsi" w:hAnsi="Arial" w:cs="Arial"/>
          <w:bCs/>
        </w:rPr>
      </w:pPr>
      <w:r w:rsidRPr="001E0F2E">
        <w:rPr>
          <w:rFonts w:ascii="Arial" w:eastAsiaTheme="minorHAnsi" w:hAnsi="Arial" w:cs="Arial"/>
          <w:bCs/>
        </w:rPr>
        <w:t>Each ICB is responsible for fulfilling its own statutory responsibilities and is required to have its own committee to oversee certain functions. The ICBs have agreed that the PSRC should meet as ‘committees in common’. This means that each committee meets simultaneously, but that each committee will retain responsibility for its own functions and will remain accountable to its own ICB Board.</w:t>
      </w:r>
    </w:p>
    <w:p w14:paraId="460BE64A" w14:textId="77777777" w:rsidR="001E0F2E" w:rsidRPr="001E0F2E" w:rsidRDefault="001E0F2E" w:rsidP="004A327C">
      <w:pPr>
        <w:pStyle w:val="ListParagraph"/>
        <w:jc w:val="both"/>
        <w:rPr>
          <w:rFonts w:ascii="Arial" w:eastAsiaTheme="minorHAnsi" w:hAnsi="Arial" w:cs="Arial"/>
          <w:bCs/>
        </w:rPr>
      </w:pPr>
    </w:p>
    <w:p w14:paraId="5D311912" w14:textId="31FA5AF6" w:rsidR="001E0F2E" w:rsidRDefault="001E0F2E" w:rsidP="004A327C">
      <w:pPr>
        <w:pStyle w:val="ListParagraph"/>
        <w:numPr>
          <w:ilvl w:val="0"/>
          <w:numId w:val="1"/>
        </w:numPr>
        <w:spacing w:before="240" w:after="160" w:line="259" w:lineRule="auto"/>
        <w:ind w:right="-46"/>
        <w:jc w:val="both"/>
        <w:rPr>
          <w:rFonts w:ascii="Arial" w:eastAsiaTheme="minorHAnsi" w:hAnsi="Arial" w:cs="Arial"/>
          <w:bCs/>
        </w:rPr>
      </w:pPr>
      <w:r w:rsidRPr="001E0F2E">
        <w:rPr>
          <w:rFonts w:ascii="Arial" w:eastAsiaTheme="minorHAnsi" w:hAnsi="Arial" w:cs="Arial"/>
          <w:bCs/>
        </w:rPr>
        <w:t xml:space="preserve">Humber and North Yorkshire ICB has delegated decision making to the committee in relation to matters under the Regulations listed in Chapter 3 where the decision maker is listed as the committee. </w:t>
      </w:r>
    </w:p>
    <w:p w14:paraId="3F9BC0A0" w14:textId="77777777" w:rsidR="001E0F2E" w:rsidRPr="001E0F2E" w:rsidRDefault="001E0F2E" w:rsidP="004A327C">
      <w:pPr>
        <w:pStyle w:val="ListParagraph"/>
        <w:jc w:val="both"/>
        <w:rPr>
          <w:rFonts w:ascii="Arial" w:eastAsiaTheme="minorHAnsi" w:hAnsi="Arial" w:cs="Arial"/>
          <w:bCs/>
        </w:rPr>
      </w:pPr>
    </w:p>
    <w:p w14:paraId="5D521194" w14:textId="0B4E7D7F" w:rsidR="00B64556" w:rsidRDefault="001E0F2E" w:rsidP="004A327C">
      <w:pPr>
        <w:pStyle w:val="ListParagraph"/>
        <w:numPr>
          <w:ilvl w:val="0"/>
          <w:numId w:val="1"/>
        </w:numPr>
        <w:spacing w:before="240" w:after="160" w:line="259" w:lineRule="auto"/>
        <w:ind w:right="-46"/>
        <w:jc w:val="both"/>
        <w:rPr>
          <w:rFonts w:ascii="Arial" w:eastAsiaTheme="minorHAnsi" w:hAnsi="Arial" w:cs="Arial"/>
          <w:bCs/>
        </w:rPr>
      </w:pPr>
      <w:r w:rsidRPr="001E0F2E">
        <w:rPr>
          <w:rFonts w:ascii="Arial" w:eastAsiaTheme="minorHAnsi" w:hAnsi="Arial" w:cs="Arial"/>
          <w:bCs/>
        </w:rPr>
        <w:t>The operation of a PSRC as a Committees in Common across Humber and North Yorkshire, South Yorkshire and West Yorkshire has been agreed as a way of working as part of the transfer of delegated functions and agreed by the three ICB Boards.</w:t>
      </w:r>
    </w:p>
    <w:p w14:paraId="2FD51A7B" w14:textId="77777777" w:rsidR="008D21D1" w:rsidRPr="008D21D1" w:rsidRDefault="008D21D1" w:rsidP="004A327C">
      <w:pPr>
        <w:pStyle w:val="ListParagraph"/>
        <w:jc w:val="both"/>
        <w:rPr>
          <w:rFonts w:ascii="Arial" w:eastAsiaTheme="minorHAnsi" w:hAnsi="Arial" w:cs="Arial"/>
          <w:bCs/>
        </w:rPr>
      </w:pPr>
    </w:p>
    <w:p w14:paraId="4DE04573" w14:textId="4447783E" w:rsidR="008D21D1" w:rsidRPr="00E90BCB" w:rsidRDefault="00E90BCB" w:rsidP="00E90BCB">
      <w:pPr>
        <w:spacing w:line="259" w:lineRule="auto"/>
        <w:ind w:right="-46"/>
        <w:rPr>
          <w:rFonts w:ascii="Arial" w:eastAsiaTheme="minorHAnsi" w:hAnsi="Arial" w:cs="Arial"/>
          <w:b/>
        </w:rPr>
      </w:pPr>
      <w:r>
        <w:rPr>
          <w:rFonts w:ascii="Arial" w:eastAsiaTheme="minorHAnsi" w:hAnsi="Arial" w:cs="Arial"/>
          <w:b/>
        </w:rPr>
        <w:t>Membership, voting and conflicts of interest</w:t>
      </w:r>
    </w:p>
    <w:p w14:paraId="6F9CF737" w14:textId="77777777" w:rsidR="009222E6" w:rsidRPr="009222E6" w:rsidRDefault="009222E6" w:rsidP="009222E6">
      <w:pPr>
        <w:pStyle w:val="ListParagraph"/>
        <w:rPr>
          <w:rFonts w:ascii="Arial" w:eastAsiaTheme="minorHAnsi" w:hAnsi="Arial" w:cs="Arial"/>
          <w:bCs/>
        </w:rPr>
      </w:pPr>
    </w:p>
    <w:p w14:paraId="423923E7" w14:textId="77777777" w:rsidR="00CB0FCF" w:rsidRPr="00CB0FCF" w:rsidRDefault="00CB0FCF" w:rsidP="00CB0FCF">
      <w:pPr>
        <w:pStyle w:val="ListParagraph"/>
        <w:numPr>
          <w:ilvl w:val="0"/>
          <w:numId w:val="1"/>
        </w:numPr>
        <w:spacing w:before="240" w:after="160" w:line="259" w:lineRule="auto"/>
        <w:ind w:right="-46"/>
        <w:rPr>
          <w:rFonts w:ascii="Arial" w:eastAsiaTheme="minorHAnsi" w:hAnsi="Arial" w:cs="Arial"/>
          <w:bCs/>
        </w:rPr>
      </w:pPr>
      <w:r w:rsidRPr="00CB0FCF">
        <w:rPr>
          <w:rFonts w:ascii="Arial" w:eastAsiaTheme="minorHAnsi" w:hAnsi="Arial" w:cs="Arial"/>
          <w:bCs/>
        </w:rPr>
        <w:t>The voting membership of the committee shall be as follows:</w:t>
      </w:r>
    </w:p>
    <w:p w14:paraId="25232CA9" w14:textId="2340B8A9" w:rsidR="00CB0FCF" w:rsidRPr="00CB0FCF" w:rsidRDefault="00CB0FCF" w:rsidP="004A327C">
      <w:pPr>
        <w:pStyle w:val="ListParagraph"/>
        <w:numPr>
          <w:ilvl w:val="0"/>
          <w:numId w:val="2"/>
        </w:numPr>
        <w:spacing w:before="240" w:after="160" w:line="259" w:lineRule="auto"/>
        <w:ind w:right="-46"/>
        <w:jc w:val="both"/>
        <w:rPr>
          <w:rFonts w:ascii="Arial" w:eastAsiaTheme="minorHAnsi" w:hAnsi="Arial" w:cs="Arial"/>
          <w:bCs/>
        </w:rPr>
      </w:pPr>
      <w:r w:rsidRPr="00CB0FCF">
        <w:rPr>
          <w:rFonts w:ascii="Arial" w:eastAsiaTheme="minorHAnsi" w:hAnsi="Arial" w:cs="Arial"/>
          <w:bCs/>
        </w:rPr>
        <w:t>Assistant Director of Primary Care, Humber and North Yorkshire ICB (Nominated Deputy – Chief Pharmacy Officer)</w:t>
      </w:r>
    </w:p>
    <w:p w14:paraId="1503E842" w14:textId="04F8E817" w:rsidR="00CB0FCF" w:rsidRPr="00CB0FCF" w:rsidRDefault="00CB0FCF" w:rsidP="004A327C">
      <w:pPr>
        <w:pStyle w:val="ListParagraph"/>
        <w:numPr>
          <w:ilvl w:val="0"/>
          <w:numId w:val="2"/>
        </w:numPr>
        <w:spacing w:before="240" w:after="160" w:line="259" w:lineRule="auto"/>
        <w:ind w:right="-46"/>
        <w:jc w:val="both"/>
        <w:rPr>
          <w:rFonts w:ascii="Arial" w:eastAsiaTheme="minorHAnsi" w:hAnsi="Arial" w:cs="Arial"/>
          <w:bCs/>
        </w:rPr>
      </w:pPr>
      <w:r w:rsidRPr="00CB0FCF">
        <w:rPr>
          <w:rFonts w:ascii="Arial" w:eastAsiaTheme="minorHAnsi" w:hAnsi="Arial" w:cs="Arial"/>
          <w:bCs/>
        </w:rPr>
        <w:t>Lay member</w:t>
      </w:r>
    </w:p>
    <w:p w14:paraId="51F1EFB6" w14:textId="77777777" w:rsidR="00CB0FCF" w:rsidRPr="00CB0FCF" w:rsidRDefault="00CB0FCF" w:rsidP="004A327C">
      <w:pPr>
        <w:pStyle w:val="ListParagraph"/>
        <w:numPr>
          <w:ilvl w:val="0"/>
          <w:numId w:val="1"/>
        </w:numPr>
        <w:spacing w:before="240" w:after="160" w:line="259" w:lineRule="auto"/>
        <w:ind w:right="-46"/>
        <w:jc w:val="both"/>
        <w:rPr>
          <w:rFonts w:ascii="Arial" w:eastAsiaTheme="minorHAnsi" w:hAnsi="Arial" w:cs="Arial"/>
          <w:bCs/>
        </w:rPr>
      </w:pPr>
      <w:r w:rsidRPr="00CB0FCF">
        <w:rPr>
          <w:rFonts w:ascii="Arial" w:eastAsiaTheme="minorHAnsi" w:hAnsi="Arial" w:cs="Arial"/>
          <w:bCs/>
        </w:rPr>
        <w:lastRenderedPageBreak/>
        <w:t xml:space="preserve">Due to the knowledge and understanding of the Regulations that is required, PSRC lay members are considered to be ‘expert volunteers’ for the purposes of NHS England’s volunteering policy and should receive the appropriate fee. </w:t>
      </w:r>
    </w:p>
    <w:p w14:paraId="4985FAC0" w14:textId="77777777" w:rsidR="00CB0FCF" w:rsidRPr="00CB0FCF" w:rsidRDefault="00CB0FCF" w:rsidP="004A327C">
      <w:pPr>
        <w:pStyle w:val="ListParagraph"/>
        <w:spacing w:before="240" w:after="160" w:line="259" w:lineRule="auto"/>
        <w:ind w:right="-46"/>
        <w:jc w:val="both"/>
        <w:rPr>
          <w:rFonts w:ascii="Arial" w:eastAsiaTheme="minorHAnsi" w:hAnsi="Arial" w:cs="Arial"/>
          <w:bCs/>
        </w:rPr>
      </w:pPr>
    </w:p>
    <w:p w14:paraId="33F1653A" w14:textId="77777777" w:rsidR="00CB0FCF" w:rsidRPr="00CB0FCF" w:rsidRDefault="00CB0FCF" w:rsidP="004A327C">
      <w:pPr>
        <w:pStyle w:val="ListParagraph"/>
        <w:numPr>
          <w:ilvl w:val="0"/>
          <w:numId w:val="1"/>
        </w:numPr>
        <w:spacing w:before="240" w:after="160" w:line="259" w:lineRule="auto"/>
        <w:ind w:right="-46"/>
        <w:jc w:val="both"/>
        <w:rPr>
          <w:rFonts w:ascii="Arial" w:eastAsiaTheme="minorHAnsi" w:hAnsi="Arial" w:cs="Arial"/>
          <w:bCs/>
        </w:rPr>
      </w:pPr>
      <w:r w:rsidRPr="00CB0FCF">
        <w:rPr>
          <w:rFonts w:ascii="Arial" w:eastAsiaTheme="minorHAnsi" w:hAnsi="Arial" w:cs="Arial"/>
          <w:bCs/>
        </w:rPr>
        <w:t xml:space="preserve">All members of the committee must have a good knowledge and understanding of the Regulations in order to support sound and robust decision-making. It is essential that members build up and maintain their expertise in the Regulations and therefore minimum of 75% attendance at the Committee meetings is expected. </w:t>
      </w:r>
    </w:p>
    <w:p w14:paraId="4EC534DE" w14:textId="77777777" w:rsidR="00CB0FCF" w:rsidRPr="00CB0FCF" w:rsidRDefault="00CB0FCF" w:rsidP="004A327C">
      <w:pPr>
        <w:pStyle w:val="ListParagraph"/>
        <w:spacing w:before="240" w:after="160" w:line="259" w:lineRule="auto"/>
        <w:ind w:right="-46"/>
        <w:jc w:val="both"/>
        <w:rPr>
          <w:rFonts w:ascii="Arial" w:eastAsiaTheme="minorHAnsi" w:hAnsi="Arial" w:cs="Arial"/>
          <w:bCs/>
        </w:rPr>
      </w:pPr>
    </w:p>
    <w:p w14:paraId="16D7CB3F" w14:textId="2E5CC4E9" w:rsidR="009222E6" w:rsidRDefault="00CB0FCF" w:rsidP="004A327C">
      <w:pPr>
        <w:pStyle w:val="ListParagraph"/>
        <w:numPr>
          <w:ilvl w:val="0"/>
          <w:numId w:val="1"/>
        </w:numPr>
        <w:spacing w:before="240" w:after="160" w:line="259" w:lineRule="auto"/>
        <w:ind w:right="-46"/>
        <w:jc w:val="both"/>
        <w:rPr>
          <w:rFonts w:ascii="Arial" w:eastAsiaTheme="minorHAnsi" w:hAnsi="Arial" w:cs="Arial"/>
          <w:bCs/>
        </w:rPr>
      </w:pPr>
      <w:r w:rsidRPr="00CB0FCF">
        <w:rPr>
          <w:rFonts w:ascii="Arial" w:eastAsiaTheme="minorHAnsi" w:hAnsi="Arial" w:cs="Arial"/>
          <w:bCs/>
        </w:rPr>
        <w:t>The Committee will ordinarily reach decisions by consensus.  Where this is not possible the Chair of the Committee may call a vote.  Each voting member in attendance at the Committee has one vote. Where there is a split vote, with no clear majority, the voting member not in attendance will hold the casting vote.</w:t>
      </w:r>
    </w:p>
    <w:p w14:paraId="6436898D" w14:textId="77777777" w:rsidR="00E66BFD" w:rsidRPr="00E66BFD" w:rsidRDefault="00E66BFD" w:rsidP="004A327C">
      <w:pPr>
        <w:pStyle w:val="ListParagraph"/>
        <w:jc w:val="both"/>
        <w:rPr>
          <w:rFonts w:ascii="Arial" w:eastAsiaTheme="minorHAnsi" w:hAnsi="Arial" w:cs="Arial"/>
          <w:bCs/>
        </w:rPr>
      </w:pPr>
    </w:p>
    <w:p w14:paraId="5E7A15DB" w14:textId="77777777" w:rsidR="002B78AE" w:rsidRPr="002B78AE" w:rsidRDefault="002B78AE" w:rsidP="004A327C">
      <w:pPr>
        <w:pStyle w:val="ListParagraph"/>
        <w:numPr>
          <w:ilvl w:val="0"/>
          <w:numId w:val="1"/>
        </w:numPr>
        <w:spacing w:before="240" w:after="160" w:line="259" w:lineRule="auto"/>
        <w:ind w:right="-46"/>
        <w:jc w:val="both"/>
        <w:rPr>
          <w:rFonts w:ascii="Arial" w:eastAsiaTheme="minorHAnsi" w:hAnsi="Arial" w:cs="Arial"/>
          <w:bCs/>
        </w:rPr>
      </w:pPr>
      <w:r w:rsidRPr="002B78AE">
        <w:rPr>
          <w:rFonts w:ascii="Arial" w:eastAsiaTheme="minorHAnsi" w:hAnsi="Arial" w:cs="Arial"/>
          <w:bCs/>
        </w:rPr>
        <w:t xml:space="preserve">Each meeting of the committee will be quorate if the lay member plus one other voting member, or their deputy, is present from each ICB area with relevant papers.  </w:t>
      </w:r>
    </w:p>
    <w:p w14:paraId="0CA55A43" w14:textId="77777777" w:rsidR="002B78AE" w:rsidRPr="002B78AE" w:rsidRDefault="002B78AE" w:rsidP="002B78AE">
      <w:pPr>
        <w:pStyle w:val="ListParagraph"/>
        <w:spacing w:before="240" w:after="160" w:line="259" w:lineRule="auto"/>
        <w:ind w:right="-46"/>
        <w:rPr>
          <w:rFonts w:ascii="Arial" w:eastAsiaTheme="minorHAnsi" w:hAnsi="Arial" w:cs="Arial"/>
          <w:bCs/>
        </w:rPr>
      </w:pPr>
    </w:p>
    <w:p w14:paraId="2FEAF7F0" w14:textId="38C90EBB" w:rsidR="00E66BFD" w:rsidRDefault="002B78AE" w:rsidP="004A327C">
      <w:pPr>
        <w:pStyle w:val="ListParagraph"/>
        <w:numPr>
          <w:ilvl w:val="0"/>
          <w:numId w:val="1"/>
        </w:numPr>
        <w:spacing w:before="240" w:after="160" w:line="259" w:lineRule="auto"/>
        <w:ind w:right="-46"/>
        <w:jc w:val="both"/>
        <w:rPr>
          <w:rFonts w:ascii="Arial" w:eastAsiaTheme="minorHAnsi" w:hAnsi="Arial" w:cs="Arial"/>
          <w:bCs/>
        </w:rPr>
      </w:pPr>
      <w:r w:rsidRPr="002B78AE">
        <w:rPr>
          <w:rFonts w:ascii="Arial" w:eastAsiaTheme="minorHAnsi" w:hAnsi="Arial" w:cs="Arial"/>
          <w:bCs/>
        </w:rPr>
        <w:t>Each committee must ensure it has access to expert knowledge on the Regulations and may obtain such legal or other independent professional advice as it considers necessary and may co-opt persons with relevant experience and expertise if required.</w:t>
      </w:r>
    </w:p>
    <w:p w14:paraId="7B4C13E9" w14:textId="77777777" w:rsidR="002B78AE" w:rsidRPr="002B78AE" w:rsidRDefault="002B78AE" w:rsidP="004A327C">
      <w:pPr>
        <w:pStyle w:val="ListParagraph"/>
        <w:jc w:val="both"/>
        <w:rPr>
          <w:rFonts w:ascii="Arial" w:eastAsiaTheme="minorHAnsi" w:hAnsi="Arial" w:cs="Arial"/>
          <w:bCs/>
        </w:rPr>
      </w:pPr>
    </w:p>
    <w:p w14:paraId="46A1284A" w14:textId="7DCE8810" w:rsidR="005B72C7" w:rsidRPr="005B72C7" w:rsidRDefault="005B72C7" w:rsidP="004A327C">
      <w:pPr>
        <w:pStyle w:val="ListParagraph"/>
        <w:numPr>
          <w:ilvl w:val="0"/>
          <w:numId w:val="1"/>
        </w:numPr>
        <w:spacing w:before="240" w:after="160" w:line="259" w:lineRule="auto"/>
        <w:ind w:right="-46"/>
        <w:jc w:val="both"/>
        <w:rPr>
          <w:rFonts w:ascii="Arial" w:eastAsiaTheme="minorHAnsi" w:hAnsi="Arial" w:cs="Arial"/>
          <w:bCs/>
        </w:rPr>
      </w:pPr>
      <w:r w:rsidRPr="005B72C7">
        <w:rPr>
          <w:rFonts w:ascii="Arial" w:eastAsiaTheme="minorHAnsi" w:hAnsi="Arial" w:cs="Arial"/>
          <w:bCs/>
        </w:rPr>
        <w:t xml:space="preserve">The following persons from the ICB area Primary Care teams aligned to each ICB will attend each committee meeting but will not have voting rights: </w:t>
      </w:r>
    </w:p>
    <w:p w14:paraId="2F937248" w14:textId="77777777" w:rsidR="005B72C7" w:rsidRPr="005B72C7" w:rsidRDefault="005B72C7" w:rsidP="004A327C">
      <w:pPr>
        <w:pStyle w:val="ListParagraph"/>
        <w:numPr>
          <w:ilvl w:val="0"/>
          <w:numId w:val="3"/>
        </w:numPr>
        <w:spacing w:before="240" w:after="160" w:line="259" w:lineRule="auto"/>
        <w:ind w:right="-46"/>
        <w:jc w:val="both"/>
        <w:rPr>
          <w:rFonts w:ascii="Arial" w:eastAsiaTheme="minorHAnsi" w:hAnsi="Arial" w:cs="Arial"/>
          <w:bCs/>
        </w:rPr>
      </w:pPr>
      <w:r w:rsidRPr="005B72C7">
        <w:rPr>
          <w:rFonts w:ascii="Arial" w:eastAsiaTheme="minorHAnsi" w:hAnsi="Arial" w:cs="Arial"/>
          <w:bCs/>
        </w:rPr>
        <w:t xml:space="preserve">Primary Care Manager (or equivalent); and </w:t>
      </w:r>
    </w:p>
    <w:p w14:paraId="4693EE00" w14:textId="664C2126" w:rsidR="005B72C7" w:rsidRPr="005B72C7" w:rsidRDefault="005B72C7" w:rsidP="004A327C">
      <w:pPr>
        <w:pStyle w:val="ListParagraph"/>
        <w:numPr>
          <w:ilvl w:val="0"/>
          <w:numId w:val="3"/>
        </w:numPr>
        <w:spacing w:before="240" w:after="160" w:line="259" w:lineRule="auto"/>
        <w:ind w:right="-46"/>
        <w:jc w:val="both"/>
        <w:rPr>
          <w:rFonts w:ascii="Arial" w:eastAsiaTheme="minorHAnsi" w:hAnsi="Arial" w:cs="Arial"/>
          <w:bCs/>
        </w:rPr>
      </w:pPr>
      <w:r w:rsidRPr="005B72C7">
        <w:rPr>
          <w:rFonts w:ascii="Arial" w:eastAsiaTheme="minorHAnsi" w:hAnsi="Arial" w:cs="Arial"/>
          <w:bCs/>
        </w:rPr>
        <w:t>Pharmacy professional adviser (or equivalent).</w:t>
      </w:r>
    </w:p>
    <w:p w14:paraId="341E5888" w14:textId="77777777" w:rsidR="005B72C7" w:rsidRPr="005B72C7" w:rsidRDefault="005B72C7" w:rsidP="004A327C">
      <w:pPr>
        <w:pStyle w:val="ListParagraph"/>
        <w:spacing w:before="240" w:after="160" w:line="259" w:lineRule="auto"/>
        <w:ind w:right="-46"/>
        <w:jc w:val="both"/>
        <w:rPr>
          <w:rFonts w:ascii="Arial" w:eastAsiaTheme="minorHAnsi" w:hAnsi="Arial" w:cs="Arial"/>
          <w:bCs/>
        </w:rPr>
      </w:pPr>
    </w:p>
    <w:p w14:paraId="0B372DC7" w14:textId="6F10B825" w:rsidR="005B72C7" w:rsidRDefault="005B72C7" w:rsidP="004A327C">
      <w:pPr>
        <w:pStyle w:val="ListParagraph"/>
        <w:spacing w:before="240" w:after="160" w:line="259" w:lineRule="auto"/>
        <w:ind w:right="-46"/>
        <w:jc w:val="both"/>
        <w:rPr>
          <w:rFonts w:ascii="Arial" w:eastAsiaTheme="minorHAnsi" w:hAnsi="Arial" w:cs="Arial"/>
          <w:bCs/>
        </w:rPr>
      </w:pPr>
      <w:r w:rsidRPr="005B72C7">
        <w:rPr>
          <w:rFonts w:ascii="Arial" w:eastAsiaTheme="minorHAnsi" w:hAnsi="Arial" w:cs="Arial"/>
          <w:bCs/>
        </w:rPr>
        <w:t>In addition, relevant ICB officers will be invited to attend the Committee meeting as appropriate.</w:t>
      </w:r>
    </w:p>
    <w:p w14:paraId="1BFA5EBA" w14:textId="77777777" w:rsidR="002473E8" w:rsidRPr="005B72C7" w:rsidRDefault="002473E8" w:rsidP="004A327C">
      <w:pPr>
        <w:pStyle w:val="ListParagraph"/>
        <w:spacing w:before="240" w:after="160" w:line="259" w:lineRule="auto"/>
        <w:ind w:right="-46"/>
        <w:jc w:val="both"/>
        <w:rPr>
          <w:rFonts w:ascii="Arial" w:eastAsiaTheme="minorHAnsi" w:hAnsi="Arial" w:cs="Arial"/>
          <w:bCs/>
        </w:rPr>
      </w:pPr>
    </w:p>
    <w:p w14:paraId="0174DCED" w14:textId="62BCFAA8" w:rsidR="002B78AE" w:rsidRDefault="002473E8" w:rsidP="004A327C">
      <w:pPr>
        <w:pStyle w:val="ListParagraph"/>
        <w:numPr>
          <w:ilvl w:val="0"/>
          <w:numId w:val="1"/>
        </w:numPr>
        <w:jc w:val="both"/>
        <w:rPr>
          <w:rFonts w:ascii="Arial" w:eastAsiaTheme="minorHAnsi" w:hAnsi="Arial" w:cs="Arial"/>
          <w:bCs/>
        </w:rPr>
      </w:pPr>
      <w:proofErr w:type="gramStart"/>
      <w:r w:rsidRPr="002473E8">
        <w:rPr>
          <w:rFonts w:ascii="Arial" w:eastAsiaTheme="minorHAnsi" w:hAnsi="Arial" w:cs="Arial"/>
          <w:bCs/>
        </w:rPr>
        <w:t>Persons</w:t>
      </w:r>
      <w:proofErr w:type="gramEnd"/>
      <w:r w:rsidRPr="002473E8">
        <w:rPr>
          <w:rFonts w:ascii="Arial" w:eastAsiaTheme="minorHAnsi" w:hAnsi="Arial" w:cs="Arial"/>
          <w:bCs/>
        </w:rPr>
        <w:t xml:space="preserve"> ineligible to be voting or co-opted members of a committee are listed in Regulation 62 and in paragraph 26(1) of Schedule 2 to the Regulations. All voting members must sign a declaration to confirm that they are not barred by virtue of this regulation or paragraph. The Chair can require any member to leave the room before discussion of a matter and not return until the relevant decision has been made. The minutes will record the absences of the relevant voting member or members.</w:t>
      </w:r>
    </w:p>
    <w:p w14:paraId="05D5E765" w14:textId="77777777" w:rsidR="00F817B4" w:rsidRDefault="00F817B4" w:rsidP="004A327C">
      <w:pPr>
        <w:pStyle w:val="ListParagraph"/>
        <w:jc w:val="both"/>
        <w:rPr>
          <w:rFonts w:ascii="Arial" w:eastAsiaTheme="minorHAnsi" w:hAnsi="Arial" w:cs="Arial"/>
          <w:bCs/>
        </w:rPr>
      </w:pPr>
    </w:p>
    <w:p w14:paraId="58C150E0" w14:textId="77777777" w:rsidR="00F817B4" w:rsidRPr="00F817B4" w:rsidRDefault="00F817B4" w:rsidP="004A327C">
      <w:pPr>
        <w:pStyle w:val="ListParagraph"/>
        <w:numPr>
          <w:ilvl w:val="0"/>
          <w:numId w:val="1"/>
        </w:numPr>
        <w:jc w:val="both"/>
        <w:rPr>
          <w:rFonts w:ascii="Arial" w:eastAsiaTheme="minorHAnsi" w:hAnsi="Arial" w:cs="Arial"/>
          <w:bCs/>
        </w:rPr>
      </w:pPr>
      <w:r w:rsidRPr="00F817B4">
        <w:rPr>
          <w:rFonts w:ascii="Arial" w:eastAsiaTheme="minorHAnsi" w:hAnsi="Arial" w:cs="Arial"/>
          <w:bCs/>
        </w:rPr>
        <w:t xml:space="preserve">No member may take part in a decision if, in the opinion of the remaining voting members, the circumstances set out in paragraph 26(2) of Schedule 2 to the Regulations apply (reasonable suspicion of bias). </w:t>
      </w:r>
    </w:p>
    <w:p w14:paraId="0B4882DC" w14:textId="77777777" w:rsidR="00F817B4" w:rsidRPr="00F817B4" w:rsidRDefault="00F817B4" w:rsidP="004A327C">
      <w:pPr>
        <w:ind w:left="360"/>
        <w:jc w:val="both"/>
        <w:rPr>
          <w:rFonts w:ascii="Arial" w:eastAsiaTheme="minorHAnsi" w:hAnsi="Arial" w:cs="Arial"/>
          <w:bCs/>
        </w:rPr>
      </w:pPr>
    </w:p>
    <w:p w14:paraId="77D0F175" w14:textId="0A9E2DCD" w:rsidR="00F817B4" w:rsidRPr="00F817B4" w:rsidRDefault="00F817B4" w:rsidP="004A327C">
      <w:pPr>
        <w:pStyle w:val="ListParagraph"/>
        <w:numPr>
          <w:ilvl w:val="0"/>
          <w:numId w:val="1"/>
        </w:numPr>
        <w:jc w:val="both"/>
        <w:rPr>
          <w:rFonts w:ascii="Arial" w:eastAsiaTheme="minorHAnsi" w:hAnsi="Arial" w:cs="Arial"/>
          <w:bCs/>
        </w:rPr>
      </w:pPr>
      <w:r w:rsidRPr="00F817B4">
        <w:rPr>
          <w:rFonts w:ascii="Arial" w:eastAsiaTheme="minorHAnsi" w:hAnsi="Arial" w:cs="Arial"/>
          <w:bCs/>
        </w:rPr>
        <w:t xml:space="preserve">Members must advise the Chair of any potential conflict of interest as soon as they become aware that a potential conflict may exist. Discussion of those potential conflicts will take place at the beginning of each meeting and the </w:t>
      </w:r>
      <w:r w:rsidRPr="00F817B4">
        <w:rPr>
          <w:rFonts w:ascii="Arial" w:eastAsiaTheme="minorHAnsi" w:hAnsi="Arial" w:cs="Arial"/>
          <w:bCs/>
        </w:rPr>
        <w:lastRenderedPageBreak/>
        <w:t>action taken to mitigate such conflicts recorded. Any conflicts will be considered and managed in accordance with the ICB’s conflict of interest policy.</w:t>
      </w:r>
    </w:p>
    <w:p w14:paraId="25CC16E8" w14:textId="77777777" w:rsidR="00F817B4" w:rsidRPr="00F817B4" w:rsidRDefault="00F817B4" w:rsidP="004A327C">
      <w:pPr>
        <w:pStyle w:val="ListParagraph"/>
        <w:jc w:val="both"/>
        <w:rPr>
          <w:rFonts w:ascii="Arial" w:eastAsiaTheme="minorHAnsi" w:hAnsi="Arial" w:cs="Arial"/>
          <w:bCs/>
        </w:rPr>
      </w:pPr>
    </w:p>
    <w:p w14:paraId="42200DC4" w14:textId="74E4DA78" w:rsidR="002473E8" w:rsidRDefault="00F817B4" w:rsidP="004A327C">
      <w:pPr>
        <w:pStyle w:val="ListParagraph"/>
        <w:numPr>
          <w:ilvl w:val="0"/>
          <w:numId w:val="1"/>
        </w:numPr>
        <w:jc w:val="both"/>
        <w:rPr>
          <w:rFonts w:ascii="Arial" w:eastAsiaTheme="minorHAnsi" w:hAnsi="Arial" w:cs="Arial"/>
          <w:bCs/>
        </w:rPr>
      </w:pPr>
      <w:r w:rsidRPr="00F817B4">
        <w:rPr>
          <w:rFonts w:ascii="Arial" w:eastAsiaTheme="minorHAnsi" w:hAnsi="Arial" w:cs="Arial"/>
          <w:bCs/>
        </w:rPr>
        <w:t>Each committee will meet monthly as Committees in Common (or earlier if needed in order to discuss a case urgently) where there is a need. Where a meeting is not required, this will be documented in line with local procedures.</w:t>
      </w:r>
    </w:p>
    <w:p w14:paraId="19CD6B12" w14:textId="77777777" w:rsidR="00F817B4" w:rsidRPr="00F817B4" w:rsidRDefault="00F817B4" w:rsidP="004A327C">
      <w:pPr>
        <w:pStyle w:val="ListParagraph"/>
        <w:jc w:val="both"/>
        <w:rPr>
          <w:rFonts w:ascii="Arial" w:eastAsiaTheme="minorHAnsi" w:hAnsi="Arial" w:cs="Arial"/>
          <w:bCs/>
        </w:rPr>
      </w:pPr>
    </w:p>
    <w:p w14:paraId="77D0461E" w14:textId="77777777" w:rsidR="00972864" w:rsidRPr="00972864" w:rsidRDefault="00972864" w:rsidP="004A327C">
      <w:pPr>
        <w:pStyle w:val="ListParagraph"/>
        <w:numPr>
          <w:ilvl w:val="0"/>
          <w:numId w:val="1"/>
        </w:numPr>
        <w:jc w:val="both"/>
        <w:rPr>
          <w:rFonts w:ascii="Arial" w:eastAsiaTheme="minorHAnsi" w:hAnsi="Arial" w:cs="Arial"/>
          <w:bCs/>
        </w:rPr>
      </w:pPr>
      <w:r w:rsidRPr="00972864">
        <w:rPr>
          <w:rFonts w:ascii="Arial" w:eastAsiaTheme="minorHAnsi" w:hAnsi="Arial" w:cs="Arial"/>
          <w:bCs/>
        </w:rPr>
        <w:t>The Chairing of the Committees in Common will rotate between the Officer members of each ICB.</w:t>
      </w:r>
    </w:p>
    <w:p w14:paraId="0C1EDA5F" w14:textId="77777777" w:rsidR="00972864" w:rsidRPr="00972864" w:rsidRDefault="00972864" w:rsidP="004A327C">
      <w:pPr>
        <w:ind w:left="360"/>
        <w:jc w:val="both"/>
        <w:rPr>
          <w:rFonts w:ascii="Arial" w:eastAsiaTheme="minorHAnsi" w:hAnsi="Arial" w:cs="Arial"/>
          <w:bCs/>
        </w:rPr>
      </w:pPr>
    </w:p>
    <w:p w14:paraId="14B572EC" w14:textId="6ABFB21E" w:rsidR="006A6822" w:rsidRDefault="00972864" w:rsidP="004A327C">
      <w:pPr>
        <w:pStyle w:val="ListParagraph"/>
        <w:numPr>
          <w:ilvl w:val="0"/>
          <w:numId w:val="1"/>
        </w:numPr>
        <w:jc w:val="both"/>
        <w:rPr>
          <w:rFonts w:ascii="Arial" w:eastAsiaTheme="minorHAnsi" w:hAnsi="Arial" w:cs="Arial"/>
          <w:bCs/>
        </w:rPr>
      </w:pPr>
      <w:r w:rsidRPr="00972864">
        <w:rPr>
          <w:rFonts w:ascii="Arial" w:eastAsiaTheme="minorHAnsi" w:hAnsi="Arial" w:cs="Arial"/>
          <w:bCs/>
        </w:rPr>
        <w:t>Administrative support to the committee will be provided by the ICB chairing the committee.</w:t>
      </w:r>
    </w:p>
    <w:p w14:paraId="5EC239D1" w14:textId="77777777" w:rsidR="006A6822" w:rsidRPr="006A6822" w:rsidRDefault="006A6822" w:rsidP="004A327C">
      <w:pPr>
        <w:pStyle w:val="ListParagraph"/>
        <w:jc w:val="both"/>
        <w:rPr>
          <w:rFonts w:ascii="Arial" w:eastAsiaTheme="minorHAnsi" w:hAnsi="Arial" w:cs="Arial"/>
          <w:bCs/>
        </w:rPr>
      </w:pPr>
    </w:p>
    <w:p w14:paraId="2D3BE169" w14:textId="77777777" w:rsidR="007F5426" w:rsidRPr="007F5426" w:rsidRDefault="007F5426" w:rsidP="004A327C">
      <w:pPr>
        <w:pStyle w:val="ListParagraph"/>
        <w:numPr>
          <w:ilvl w:val="0"/>
          <w:numId w:val="1"/>
        </w:numPr>
        <w:jc w:val="both"/>
        <w:rPr>
          <w:rFonts w:ascii="Arial" w:eastAsiaTheme="minorHAnsi" w:hAnsi="Arial" w:cs="Arial"/>
          <w:bCs/>
        </w:rPr>
      </w:pPr>
      <w:r w:rsidRPr="007F5426">
        <w:rPr>
          <w:rFonts w:ascii="Arial" w:eastAsiaTheme="minorHAnsi" w:hAnsi="Arial" w:cs="Arial"/>
          <w:bCs/>
        </w:rPr>
        <w:t xml:space="preserve">Each committee will provide a report setting out a summary of its activity, decisions taken and outcomes of any appeals against those decisions at least every six months to an appropriate senior management committee (to be determined by each ICB). </w:t>
      </w:r>
    </w:p>
    <w:p w14:paraId="6D434C63" w14:textId="77777777" w:rsidR="007F5426" w:rsidRPr="007F5426" w:rsidRDefault="007F5426" w:rsidP="004A327C">
      <w:pPr>
        <w:ind w:left="360"/>
        <w:jc w:val="both"/>
        <w:rPr>
          <w:rFonts w:ascii="Arial" w:eastAsiaTheme="minorHAnsi" w:hAnsi="Arial" w:cs="Arial"/>
          <w:bCs/>
        </w:rPr>
      </w:pPr>
    </w:p>
    <w:p w14:paraId="2E0A5DEE" w14:textId="5EE9E662" w:rsidR="006A6822" w:rsidRDefault="007F5426" w:rsidP="004A327C">
      <w:pPr>
        <w:pStyle w:val="ListParagraph"/>
        <w:numPr>
          <w:ilvl w:val="0"/>
          <w:numId w:val="1"/>
        </w:numPr>
        <w:jc w:val="both"/>
        <w:rPr>
          <w:rFonts w:ascii="Arial" w:eastAsiaTheme="minorHAnsi" w:hAnsi="Arial" w:cs="Arial"/>
          <w:bCs/>
        </w:rPr>
      </w:pPr>
      <w:r w:rsidRPr="007F5426">
        <w:rPr>
          <w:rFonts w:ascii="Arial" w:eastAsiaTheme="minorHAnsi" w:hAnsi="Arial" w:cs="Arial"/>
          <w:bCs/>
        </w:rPr>
        <w:t>Health and Wellbeing Boards are responsible for identifying current or future needs for, or improvements or better access to, a pharmaceutical service or pharmaceutical services in general via the pharmaceutical needs assessment (PNA). Each committee is required to review the PNAs in its area and to record the actions taken to address identified needs, improvements or better access whether this is via the market entry process or through local commissioning processes.</w:t>
      </w:r>
    </w:p>
    <w:p w14:paraId="2D554899" w14:textId="77777777" w:rsidR="00E90BCB" w:rsidRPr="00E90BCB" w:rsidRDefault="00E90BCB" w:rsidP="00E90BCB">
      <w:pPr>
        <w:pStyle w:val="ListParagraph"/>
        <w:rPr>
          <w:rFonts w:ascii="Arial" w:eastAsiaTheme="minorHAnsi" w:hAnsi="Arial" w:cs="Arial"/>
          <w:bCs/>
        </w:rPr>
      </w:pPr>
    </w:p>
    <w:p w14:paraId="2F355D9E" w14:textId="3143E324" w:rsidR="00E90BCB" w:rsidRPr="00E90BCB" w:rsidRDefault="00E90BCB" w:rsidP="00E90BCB">
      <w:pPr>
        <w:rPr>
          <w:rFonts w:ascii="Arial" w:eastAsiaTheme="minorHAnsi" w:hAnsi="Arial" w:cs="Arial"/>
          <w:b/>
        </w:rPr>
      </w:pPr>
      <w:r>
        <w:rPr>
          <w:rFonts w:ascii="Arial" w:eastAsiaTheme="minorHAnsi" w:hAnsi="Arial" w:cs="Arial"/>
          <w:b/>
        </w:rPr>
        <w:t>Pharmacy Contract Manager (PCM) decision making</w:t>
      </w:r>
    </w:p>
    <w:p w14:paraId="4EACCE4B" w14:textId="77777777" w:rsidR="007F5426" w:rsidRPr="007F5426" w:rsidRDefault="007F5426" w:rsidP="007F5426">
      <w:pPr>
        <w:pStyle w:val="ListParagraph"/>
        <w:rPr>
          <w:rFonts w:ascii="Arial" w:eastAsiaTheme="minorHAnsi" w:hAnsi="Arial" w:cs="Arial"/>
          <w:bCs/>
        </w:rPr>
      </w:pPr>
    </w:p>
    <w:p w14:paraId="4F4255E4" w14:textId="77777777" w:rsidR="008721A8" w:rsidRPr="008721A8" w:rsidRDefault="008721A8" w:rsidP="004A327C">
      <w:pPr>
        <w:pStyle w:val="ListParagraph"/>
        <w:numPr>
          <w:ilvl w:val="0"/>
          <w:numId w:val="1"/>
        </w:numPr>
        <w:jc w:val="both"/>
        <w:rPr>
          <w:rFonts w:ascii="Arial" w:eastAsiaTheme="minorHAnsi" w:hAnsi="Arial" w:cs="Arial"/>
          <w:bCs/>
        </w:rPr>
      </w:pPr>
      <w:r w:rsidRPr="008721A8">
        <w:rPr>
          <w:rFonts w:ascii="Arial" w:eastAsiaTheme="minorHAnsi" w:hAnsi="Arial" w:cs="Arial"/>
          <w:bCs/>
        </w:rPr>
        <w:t xml:space="preserve">The Pharmacy Manual refers to Pharmacy Contract Manager (PCM) level decision making. ICBs are required to have an appropriately experienced officer in a role that is similar to the NHS England PCMs. Where such a person meets the requirements of the Regulations, they are authorised through the approval of these terms of reference to make the decisions in accordance with Appendix 1 of these terms of reference.  </w:t>
      </w:r>
    </w:p>
    <w:p w14:paraId="3EE5EBD0" w14:textId="77777777" w:rsidR="008721A8" w:rsidRPr="008721A8" w:rsidRDefault="008721A8" w:rsidP="004A327C">
      <w:pPr>
        <w:pStyle w:val="ListParagraph"/>
        <w:jc w:val="both"/>
        <w:rPr>
          <w:rFonts w:ascii="Arial" w:eastAsiaTheme="minorHAnsi" w:hAnsi="Arial" w:cs="Arial"/>
          <w:bCs/>
        </w:rPr>
      </w:pPr>
    </w:p>
    <w:p w14:paraId="15945831" w14:textId="77777777" w:rsidR="008721A8" w:rsidRPr="008721A8" w:rsidRDefault="008721A8" w:rsidP="004A327C">
      <w:pPr>
        <w:pStyle w:val="ListParagraph"/>
        <w:numPr>
          <w:ilvl w:val="0"/>
          <w:numId w:val="1"/>
        </w:numPr>
        <w:jc w:val="both"/>
        <w:rPr>
          <w:rFonts w:ascii="Arial" w:eastAsiaTheme="minorHAnsi" w:hAnsi="Arial" w:cs="Arial"/>
          <w:bCs/>
        </w:rPr>
      </w:pPr>
      <w:r w:rsidRPr="008721A8">
        <w:rPr>
          <w:rFonts w:ascii="Arial" w:eastAsiaTheme="minorHAnsi" w:hAnsi="Arial" w:cs="Arial"/>
          <w:bCs/>
        </w:rPr>
        <w:t>For the purpose of this document, ‘the officer’ or ‘officer’ is either the PCM or the ICB equivalent.</w:t>
      </w:r>
    </w:p>
    <w:p w14:paraId="77080A2B" w14:textId="77777777" w:rsidR="008721A8" w:rsidRPr="008721A8" w:rsidRDefault="008721A8" w:rsidP="004A327C">
      <w:pPr>
        <w:pStyle w:val="ListParagraph"/>
        <w:jc w:val="both"/>
        <w:rPr>
          <w:rFonts w:ascii="Arial" w:eastAsiaTheme="minorHAnsi" w:hAnsi="Arial" w:cs="Arial"/>
          <w:bCs/>
        </w:rPr>
      </w:pPr>
    </w:p>
    <w:p w14:paraId="0A7B0092" w14:textId="77777777" w:rsidR="008721A8" w:rsidRPr="008721A8" w:rsidRDefault="008721A8" w:rsidP="004A327C">
      <w:pPr>
        <w:pStyle w:val="ListParagraph"/>
        <w:numPr>
          <w:ilvl w:val="0"/>
          <w:numId w:val="1"/>
        </w:numPr>
        <w:jc w:val="both"/>
        <w:rPr>
          <w:rFonts w:ascii="Arial" w:eastAsiaTheme="minorHAnsi" w:hAnsi="Arial" w:cs="Arial"/>
          <w:bCs/>
        </w:rPr>
      </w:pPr>
      <w:r w:rsidRPr="008721A8">
        <w:rPr>
          <w:rFonts w:ascii="Arial" w:eastAsiaTheme="minorHAnsi" w:hAnsi="Arial" w:cs="Arial"/>
          <w:bCs/>
        </w:rPr>
        <w:t>The ICB has delegated decision-making through the committee to the officer, or their suitable nominated deputy when they are on leave, in relation to matters under the Regulations listed in this chapter where the decision-maker is listed as ‘officer or committee’.</w:t>
      </w:r>
    </w:p>
    <w:p w14:paraId="2BD198B6" w14:textId="77777777" w:rsidR="008721A8" w:rsidRPr="008721A8" w:rsidRDefault="008721A8" w:rsidP="004A327C">
      <w:pPr>
        <w:pStyle w:val="ListParagraph"/>
        <w:jc w:val="both"/>
        <w:rPr>
          <w:rFonts w:ascii="Arial" w:eastAsiaTheme="minorHAnsi" w:hAnsi="Arial" w:cs="Arial"/>
          <w:bCs/>
        </w:rPr>
      </w:pPr>
    </w:p>
    <w:p w14:paraId="22DC5663" w14:textId="77777777" w:rsidR="008721A8" w:rsidRPr="008721A8" w:rsidRDefault="008721A8" w:rsidP="004A327C">
      <w:pPr>
        <w:pStyle w:val="ListParagraph"/>
        <w:numPr>
          <w:ilvl w:val="0"/>
          <w:numId w:val="1"/>
        </w:numPr>
        <w:jc w:val="both"/>
        <w:rPr>
          <w:rFonts w:ascii="Arial" w:eastAsiaTheme="minorHAnsi" w:hAnsi="Arial" w:cs="Arial"/>
          <w:bCs/>
        </w:rPr>
      </w:pPr>
      <w:r w:rsidRPr="008721A8">
        <w:rPr>
          <w:rFonts w:ascii="Arial" w:eastAsiaTheme="minorHAnsi" w:hAnsi="Arial" w:cs="Arial"/>
          <w:bCs/>
        </w:rPr>
        <w:t>Regulation 62 and paragraph 26(1), Schedule 2 to the Regulations lists those persons who may take no part in determining or deferring an application (see above for the full list). Before considering an application or making a decision that has been delegated to them, the officer must document that they are not barred by virtue of the relevant regulation or paragraph mentioned at the beginning of the paragraph.</w:t>
      </w:r>
    </w:p>
    <w:p w14:paraId="79EAC663" w14:textId="77777777" w:rsidR="008721A8" w:rsidRPr="008721A8" w:rsidRDefault="008721A8" w:rsidP="004A327C">
      <w:pPr>
        <w:pStyle w:val="ListParagraph"/>
        <w:jc w:val="both"/>
        <w:rPr>
          <w:rFonts w:ascii="Arial" w:eastAsiaTheme="minorHAnsi" w:hAnsi="Arial" w:cs="Arial"/>
          <w:bCs/>
        </w:rPr>
      </w:pPr>
    </w:p>
    <w:p w14:paraId="3EC9CD89" w14:textId="77777777" w:rsidR="008721A8" w:rsidRPr="008721A8" w:rsidRDefault="008721A8" w:rsidP="004A327C">
      <w:pPr>
        <w:pStyle w:val="ListParagraph"/>
        <w:numPr>
          <w:ilvl w:val="0"/>
          <w:numId w:val="1"/>
        </w:numPr>
        <w:jc w:val="both"/>
        <w:rPr>
          <w:rFonts w:ascii="Arial" w:eastAsiaTheme="minorHAnsi" w:hAnsi="Arial" w:cs="Arial"/>
          <w:bCs/>
        </w:rPr>
      </w:pPr>
      <w:r w:rsidRPr="008721A8">
        <w:rPr>
          <w:rFonts w:ascii="Arial" w:eastAsiaTheme="minorHAnsi" w:hAnsi="Arial" w:cs="Arial"/>
          <w:bCs/>
        </w:rPr>
        <w:lastRenderedPageBreak/>
        <w:t xml:space="preserve">The officer may not </w:t>
      </w:r>
      <w:proofErr w:type="gramStart"/>
      <w:r w:rsidRPr="008721A8">
        <w:rPr>
          <w:rFonts w:ascii="Arial" w:eastAsiaTheme="minorHAnsi" w:hAnsi="Arial" w:cs="Arial"/>
          <w:bCs/>
        </w:rPr>
        <w:t>make a decision</w:t>
      </w:r>
      <w:proofErr w:type="gramEnd"/>
      <w:r w:rsidRPr="008721A8">
        <w:rPr>
          <w:rFonts w:ascii="Arial" w:eastAsiaTheme="minorHAnsi" w:hAnsi="Arial" w:cs="Arial"/>
          <w:bCs/>
        </w:rPr>
        <w:t xml:space="preserve"> if the circumstances set out in paragraph 26(2), Schedule 2 to the Regulations apply (reasonable suspicion of bias).</w:t>
      </w:r>
    </w:p>
    <w:p w14:paraId="5EDEC720" w14:textId="77777777" w:rsidR="008721A8" w:rsidRPr="008721A8" w:rsidRDefault="008721A8" w:rsidP="004A327C">
      <w:pPr>
        <w:pStyle w:val="ListParagraph"/>
        <w:jc w:val="both"/>
        <w:rPr>
          <w:rFonts w:ascii="Arial" w:eastAsiaTheme="minorHAnsi" w:hAnsi="Arial" w:cs="Arial"/>
          <w:bCs/>
        </w:rPr>
      </w:pPr>
    </w:p>
    <w:p w14:paraId="238A05F8" w14:textId="77777777" w:rsidR="008721A8" w:rsidRPr="008721A8" w:rsidRDefault="008721A8" w:rsidP="004A327C">
      <w:pPr>
        <w:pStyle w:val="ListParagraph"/>
        <w:numPr>
          <w:ilvl w:val="0"/>
          <w:numId w:val="1"/>
        </w:numPr>
        <w:jc w:val="both"/>
        <w:rPr>
          <w:rFonts w:ascii="Arial" w:eastAsiaTheme="minorHAnsi" w:hAnsi="Arial" w:cs="Arial"/>
          <w:bCs/>
        </w:rPr>
      </w:pPr>
      <w:r w:rsidRPr="008721A8">
        <w:rPr>
          <w:rFonts w:ascii="Arial" w:eastAsiaTheme="minorHAnsi" w:hAnsi="Arial" w:cs="Arial"/>
          <w:bCs/>
        </w:rPr>
        <w:t xml:space="preserve"> The officer will be responsible for such matters listed in this chapter where the decision-maker is listed as ‘officer or committee’. If, for whatever reason, the officer is unable to </w:t>
      </w:r>
      <w:proofErr w:type="gramStart"/>
      <w:r w:rsidRPr="008721A8">
        <w:rPr>
          <w:rFonts w:ascii="Arial" w:eastAsiaTheme="minorHAnsi" w:hAnsi="Arial" w:cs="Arial"/>
          <w:bCs/>
        </w:rPr>
        <w:t>make a decision</w:t>
      </w:r>
      <w:proofErr w:type="gramEnd"/>
      <w:r w:rsidRPr="008721A8">
        <w:rPr>
          <w:rFonts w:ascii="Arial" w:eastAsiaTheme="minorHAnsi" w:hAnsi="Arial" w:cs="Arial"/>
          <w:bCs/>
        </w:rPr>
        <w:t xml:space="preserve"> within the required timeframe (or at all), that decision shall be taken by the committee.</w:t>
      </w:r>
    </w:p>
    <w:p w14:paraId="0113D1CA" w14:textId="77777777" w:rsidR="008721A8" w:rsidRPr="008721A8" w:rsidRDefault="008721A8" w:rsidP="004A327C">
      <w:pPr>
        <w:pStyle w:val="ListParagraph"/>
        <w:jc w:val="both"/>
        <w:rPr>
          <w:rFonts w:ascii="Arial" w:eastAsiaTheme="minorHAnsi" w:hAnsi="Arial" w:cs="Arial"/>
          <w:bCs/>
        </w:rPr>
      </w:pPr>
    </w:p>
    <w:p w14:paraId="7063EBED" w14:textId="77777777" w:rsidR="008721A8" w:rsidRPr="008721A8" w:rsidRDefault="008721A8" w:rsidP="004A327C">
      <w:pPr>
        <w:pStyle w:val="ListParagraph"/>
        <w:numPr>
          <w:ilvl w:val="0"/>
          <w:numId w:val="1"/>
        </w:numPr>
        <w:jc w:val="both"/>
        <w:rPr>
          <w:rFonts w:ascii="Arial" w:eastAsiaTheme="minorHAnsi" w:hAnsi="Arial" w:cs="Arial"/>
          <w:bCs/>
        </w:rPr>
      </w:pPr>
      <w:r w:rsidRPr="008721A8">
        <w:rPr>
          <w:rFonts w:ascii="Arial" w:eastAsiaTheme="minorHAnsi" w:hAnsi="Arial" w:cs="Arial"/>
          <w:bCs/>
        </w:rPr>
        <w:t xml:space="preserve"> The officer will report monthly to the committee on decisions taken and the outcome of any appeals on those decisions.</w:t>
      </w:r>
    </w:p>
    <w:p w14:paraId="445ED01F" w14:textId="77777777" w:rsidR="008721A8" w:rsidRPr="008721A8" w:rsidRDefault="008721A8" w:rsidP="004A327C">
      <w:pPr>
        <w:pStyle w:val="ListParagraph"/>
        <w:jc w:val="both"/>
        <w:rPr>
          <w:rFonts w:ascii="Arial" w:eastAsiaTheme="minorHAnsi" w:hAnsi="Arial" w:cs="Arial"/>
          <w:bCs/>
        </w:rPr>
      </w:pPr>
    </w:p>
    <w:p w14:paraId="5D6033B7" w14:textId="06CBC8C5" w:rsidR="007F5426" w:rsidRDefault="008721A8" w:rsidP="004A327C">
      <w:pPr>
        <w:pStyle w:val="ListParagraph"/>
        <w:numPr>
          <w:ilvl w:val="0"/>
          <w:numId w:val="1"/>
        </w:numPr>
        <w:jc w:val="both"/>
        <w:rPr>
          <w:rFonts w:ascii="Arial" w:eastAsiaTheme="minorHAnsi" w:hAnsi="Arial" w:cs="Arial"/>
          <w:bCs/>
        </w:rPr>
      </w:pPr>
      <w:r w:rsidRPr="008721A8">
        <w:rPr>
          <w:rFonts w:ascii="Arial" w:eastAsiaTheme="minorHAnsi" w:hAnsi="Arial" w:cs="Arial"/>
          <w:bCs/>
        </w:rPr>
        <w:t>Where, as part of the workforce model agreed between NHS England and a delegated ICB, a person employed by a ‘relevant body’ (as defined in section 65Z5 of the NHS Act 2006) fulfils the role of the ICB’s post that is the equivalent of the PCM, that person is delegated to make those decisions listed in this chapter as ‘officer’ or ‘officer or committee’ as described above.</w:t>
      </w:r>
    </w:p>
    <w:p w14:paraId="15A13ACF" w14:textId="77777777" w:rsidR="00212D92" w:rsidRPr="00212D92" w:rsidRDefault="00212D92" w:rsidP="004A327C">
      <w:pPr>
        <w:pStyle w:val="ListParagraph"/>
        <w:jc w:val="both"/>
        <w:rPr>
          <w:rFonts w:ascii="Arial" w:eastAsiaTheme="minorHAnsi" w:hAnsi="Arial" w:cs="Arial"/>
          <w:bCs/>
        </w:rPr>
      </w:pPr>
    </w:p>
    <w:p w14:paraId="05E3F7AC" w14:textId="355242FE" w:rsidR="00212D92" w:rsidRPr="00212D92" w:rsidRDefault="00212D92" w:rsidP="004A327C">
      <w:pPr>
        <w:jc w:val="both"/>
        <w:rPr>
          <w:rFonts w:ascii="Arial" w:eastAsiaTheme="minorHAnsi" w:hAnsi="Arial" w:cs="Arial"/>
          <w:b/>
        </w:rPr>
      </w:pPr>
      <w:r>
        <w:rPr>
          <w:rFonts w:ascii="Arial" w:eastAsiaTheme="minorHAnsi" w:hAnsi="Arial" w:cs="Arial"/>
          <w:b/>
        </w:rPr>
        <w:t>Fitness to practice decisions</w:t>
      </w:r>
    </w:p>
    <w:p w14:paraId="467C5B2B" w14:textId="77777777" w:rsidR="008721A8" w:rsidRPr="008721A8" w:rsidRDefault="008721A8" w:rsidP="004A327C">
      <w:pPr>
        <w:pStyle w:val="ListParagraph"/>
        <w:jc w:val="both"/>
        <w:rPr>
          <w:rFonts w:ascii="Arial" w:eastAsiaTheme="minorHAnsi" w:hAnsi="Arial" w:cs="Arial"/>
          <w:bCs/>
        </w:rPr>
      </w:pPr>
    </w:p>
    <w:p w14:paraId="7331110F" w14:textId="77777777" w:rsidR="00B26CDE" w:rsidRPr="00B26CDE" w:rsidRDefault="00B26CDE" w:rsidP="004A327C">
      <w:pPr>
        <w:pStyle w:val="ListParagraph"/>
        <w:numPr>
          <w:ilvl w:val="0"/>
          <w:numId w:val="1"/>
        </w:numPr>
        <w:jc w:val="both"/>
        <w:rPr>
          <w:rFonts w:ascii="Arial" w:eastAsiaTheme="minorHAnsi" w:hAnsi="Arial" w:cs="Arial"/>
          <w:bCs/>
        </w:rPr>
      </w:pPr>
      <w:r w:rsidRPr="00B26CDE">
        <w:rPr>
          <w:rFonts w:ascii="Arial" w:eastAsiaTheme="minorHAnsi" w:hAnsi="Arial" w:cs="Arial"/>
          <w:bCs/>
        </w:rPr>
        <w:t xml:space="preserve">With effect from 1 April 2023, ICBs’ committees will be responsible for all fitness decisions. The committee may seek professional advice in making these decisions. By local agreement, such advice might be from a pharmacy advisor or a person who is a member of a PAG, PSG or PLDP; and nominated by a medical director for system improvement and professional standards. For the avoidance of doubt, ‘fitness matters’ are defined as follows. </w:t>
      </w:r>
    </w:p>
    <w:p w14:paraId="60DDC36A" w14:textId="77777777" w:rsidR="008B538B" w:rsidRDefault="008B538B" w:rsidP="004A327C">
      <w:pPr>
        <w:pStyle w:val="ListParagraph"/>
        <w:jc w:val="both"/>
        <w:rPr>
          <w:rFonts w:ascii="Arial" w:eastAsiaTheme="minorHAnsi" w:hAnsi="Arial" w:cs="Arial"/>
          <w:bCs/>
        </w:rPr>
      </w:pPr>
    </w:p>
    <w:p w14:paraId="71AF3D27" w14:textId="4BB10370" w:rsidR="008B538B" w:rsidRPr="008B538B" w:rsidRDefault="008B538B" w:rsidP="004A327C">
      <w:pPr>
        <w:pStyle w:val="ListParagraph"/>
        <w:numPr>
          <w:ilvl w:val="0"/>
          <w:numId w:val="4"/>
        </w:numPr>
        <w:jc w:val="both"/>
        <w:rPr>
          <w:rFonts w:ascii="Arial" w:eastAsiaTheme="minorHAnsi" w:hAnsi="Arial" w:cs="Arial"/>
          <w:bCs/>
        </w:rPr>
      </w:pPr>
      <w:r w:rsidRPr="008B538B">
        <w:rPr>
          <w:rFonts w:ascii="Arial" w:eastAsiaTheme="minorHAnsi" w:hAnsi="Arial" w:cs="Arial"/>
          <w:bCs/>
        </w:rPr>
        <w:t xml:space="preserve">Determining whether or not an applicant is a fit and proper person to be included in the relevant pharmaceutical list when applying to be included in it for the first time. </w:t>
      </w:r>
    </w:p>
    <w:p w14:paraId="6AC9E7BE" w14:textId="77777777" w:rsidR="008B538B" w:rsidRPr="008B538B" w:rsidRDefault="008B538B" w:rsidP="004A327C">
      <w:pPr>
        <w:pStyle w:val="ListParagraph"/>
        <w:jc w:val="both"/>
        <w:rPr>
          <w:rFonts w:ascii="Arial" w:eastAsiaTheme="minorHAnsi" w:hAnsi="Arial" w:cs="Arial"/>
          <w:bCs/>
        </w:rPr>
      </w:pPr>
    </w:p>
    <w:p w14:paraId="5ECC577D" w14:textId="77777777" w:rsidR="008B538B" w:rsidRPr="008B538B" w:rsidRDefault="008B538B" w:rsidP="004A327C">
      <w:pPr>
        <w:pStyle w:val="ListParagraph"/>
        <w:numPr>
          <w:ilvl w:val="0"/>
          <w:numId w:val="4"/>
        </w:numPr>
        <w:jc w:val="both"/>
        <w:rPr>
          <w:rFonts w:ascii="Arial" w:eastAsiaTheme="minorHAnsi" w:hAnsi="Arial" w:cs="Arial"/>
          <w:bCs/>
        </w:rPr>
      </w:pPr>
      <w:r w:rsidRPr="008B538B">
        <w:rPr>
          <w:rFonts w:ascii="Arial" w:eastAsiaTheme="minorHAnsi" w:hAnsi="Arial" w:cs="Arial"/>
          <w:bCs/>
        </w:rPr>
        <w:t xml:space="preserve">Considering whether or not an applicant body corporate remains a fit and proper person to be included in the relevant pharmaceutical list following the grant of an application for inclusion in that list, but before the body corporate is so included, where it notifies the commissioner that it has appointed a new superintendent. </w:t>
      </w:r>
    </w:p>
    <w:p w14:paraId="60452CCD" w14:textId="77777777" w:rsidR="008B538B" w:rsidRPr="008B538B" w:rsidRDefault="008B538B" w:rsidP="004A327C">
      <w:pPr>
        <w:pStyle w:val="ListParagraph"/>
        <w:jc w:val="both"/>
        <w:rPr>
          <w:rFonts w:ascii="Arial" w:eastAsiaTheme="minorHAnsi" w:hAnsi="Arial" w:cs="Arial"/>
          <w:bCs/>
        </w:rPr>
      </w:pPr>
    </w:p>
    <w:p w14:paraId="58D49EDF" w14:textId="77777777" w:rsidR="008B538B" w:rsidRPr="008B538B" w:rsidRDefault="008B538B" w:rsidP="004A327C">
      <w:pPr>
        <w:pStyle w:val="ListParagraph"/>
        <w:numPr>
          <w:ilvl w:val="0"/>
          <w:numId w:val="4"/>
        </w:numPr>
        <w:jc w:val="both"/>
        <w:rPr>
          <w:rFonts w:ascii="Arial" w:eastAsiaTheme="minorHAnsi" w:hAnsi="Arial" w:cs="Arial"/>
          <w:bCs/>
        </w:rPr>
      </w:pPr>
      <w:r w:rsidRPr="008B538B">
        <w:rPr>
          <w:rFonts w:ascii="Arial" w:eastAsiaTheme="minorHAnsi" w:hAnsi="Arial" w:cs="Arial"/>
          <w:bCs/>
        </w:rPr>
        <w:t xml:space="preserve">Review of conditions following the conditional inclusion of an applicant in a pharmaceutical list. </w:t>
      </w:r>
    </w:p>
    <w:p w14:paraId="6FDFA827" w14:textId="77777777" w:rsidR="008B538B" w:rsidRPr="008B538B" w:rsidRDefault="008B538B" w:rsidP="004A327C">
      <w:pPr>
        <w:pStyle w:val="ListParagraph"/>
        <w:jc w:val="both"/>
        <w:rPr>
          <w:rFonts w:ascii="Arial" w:eastAsiaTheme="minorHAnsi" w:hAnsi="Arial" w:cs="Arial"/>
          <w:bCs/>
        </w:rPr>
      </w:pPr>
    </w:p>
    <w:p w14:paraId="7242C385" w14:textId="77777777" w:rsidR="008B538B" w:rsidRPr="008B538B" w:rsidRDefault="008B538B" w:rsidP="004A327C">
      <w:pPr>
        <w:pStyle w:val="ListParagraph"/>
        <w:numPr>
          <w:ilvl w:val="0"/>
          <w:numId w:val="4"/>
        </w:numPr>
        <w:jc w:val="both"/>
        <w:rPr>
          <w:rFonts w:ascii="Arial" w:eastAsiaTheme="minorHAnsi" w:hAnsi="Arial" w:cs="Arial"/>
          <w:bCs/>
        </w:rPr>
      </w:pPr>
      <w:r w:rsidRPr="008B538B">
        <w:rPr>
          <w:rFonts w:ascii="Arial" w:eastAsiaTheme="minorHAnsi" w:hAnsi="Arial" w:cs="Arial"/>
          <w:bCs/>
        </w:rPr>
        <w:t>Use of the fitness powers in connection with a person who is already included in a pharmaceutical list or lists as set out in the NHS Act 2006 and the NHS (Pharmaceutical and Local Pharmaceutical Services) Regulations 2013, as amended, to include removal, contingent removal, suspension and applying for a national disqualification. This could be as a result of a contractor notifying the commissioner of a fitness matter, the commissioner otherwise becoming aware of a fitness matter, or through contract management alongside, or instead of, use of the performance related sanctions.</w:t>
      </w:r>
    </w:p>
    <w:p w14:paraId="0653C021" w14:textId="77777777" w:rsidR="008B538B" w:rsidRPr="008B538B" w:rsidRDefault="008B538B" w:rsidP="004A327C">
      <w:pPr>
        <w:pStyle w:val="ListParagraph"/>
        <w:jc w:val="both"/>
        <w:rPr>
          <w:rFonts w:ascii="Arial" w:eastAsiaTheme="minorHAnsi" w:hAnsi="Arial" w:cs="Arial"/>
          <w:bCs/>
        </w:rPr>
      </w:pPr>
    </w:p>
    <w:p w14:paraId="55FE5A60" w14:textId="782D4D6F" w:rsidR="008B538B" w:rsidRDefault="008B538B" w:rsidP="004A327C">
      <w:pPr>
        <w:pStyle w:val="ListParagraph"/>
        <w:numPr>
          <w:ilvl w:val="0"/>
          <w:numId w:val="1"/>
        </w:numPr>
        <w:jc w:val="both"/>
        <w:rPr>
          <w:rFonts w:ascii="Arial" w:eastAsiaTheme="minorHAnsi" w:hAnsi="Arial" w:cs="Arial"/>
          <w:bCs/>
        </w:rPr>
      </w:pPr>
      <w:r w:rsidRPr="008B538B">
        <w:rPr>
          <w:rFonts w:ascii="Arial" w:eastAsiaTheme="minorHAnsi" w:hAnsi="Arial" w:cs="Arial"/>
          <w:bCs/>
        </w:rPr>
        <w:lastRenderedPageBreak/>
        <w:t>Fitness decisions will be reported monthly to the PSRC on decisions taken in line with Chapter 4 of the Pharmacy Manual.</w:t>
      </w:r>
    </w:p>
    <w:p w14:paraId="61BE7CA7" w14:textId="77777777" w:rsidR="00212D92" w:rsidRDefault="00212D92" w:rsidP="004A327C">
      <w:pPr>
        <w:ind w:left="360"/>
        <w:jc w:val="both"/>
        <w:rPr>
          <w:rFonts w:ascii="Arial" w:eastAsiaTheme="minorHAnsi" w:hAnsi="Arial" w:cs="Arial"/>
          <w:bCs/>
        </w:rPr>
      </w:pPr>
    </w:p>
    <w:p w14:paraId="234F3BC8" w14:textId="2C610378" w:rsidR="00212D92" w:rsidRPr="00212D92" w:rsidRDefault="00212D92" w:rsidP="004A327C">
      <w:pPr>
        <w:jc w:val="both"/>
        <w:rPr>
          <w:rFonts w:ascii="Arial" w:eastAsiaTheme="minorHAnsi" w:hAnsi="Arial" w:cs="Arial"/>
          <w:b/>
        </w:rPr>
      </w:pPr>
      <w:r>
        <w:rPr>
          <w:rFonts w:ascii="Arial" w:eastAsiaTheme="minorHAnsi" w:hAnsi="Arial" w:cs="Arial"/>
          <w:b/>
        </w:rPr>
        <w:t>Accountability and reporting</w:t>
      </w:r>
    </w:p>
    <w:p w14:paraId="1BB477DC" w14:textId="77777777" w:rsidR="00893D69" w:rsidRPr="008B538B" w:rsidRDefault="00893D69" w:rsidP="004A327C">
      <w:pPr>
        <w:pStyle w:val="ListParagraph"/>
        <w:jc w:val="both"/>
        <w:rPr>
          <w:rFonts w:ascii="Arial" w:eastAsiaTheme="minorHAnsi" w:hAnsi="Arial" w:cs="Arial"/>
          <w:bCs/>
        </w:rPr>
      </w:pPr>
    </w:p>
    <w:p w14:paraId="28A1DEA0" w14:textId="77777777" w:rsidR="00893D69" w:rsidRPr="00893D69" w:rsidRDefault="00893D69" w:rsidP="004A327C">
      <w:pPr>
        <w:pStyle w:val="ListParagraph"/>
        <w:numPr>
          <w:ilvl w:val="0"/>
          <w:numId w:val="1"/>
        </w:numPr>
        <w:jc w:val="both"/>
        <w:rPr>
          <w:rFonts w:ascii="Arial" w:eastAsiaTheme="minorHAnsi" w:hAnsi="Arial" w:cs="Arial"/>
          <w:bCs/>
        </w:rPr>
      </w:pPr>
      <w:r w:rsidRPr="00893D69">
        <w:rPr>
          <w:rFonts w:ascii="Arial" w:eastAsiaTheme="minorHAnsi" w:hAnsi="Arial" w:cs="Arial"/>
          <w:bCs/>
        </w:rPr>
        <w:t>The Committees are accountable to their own ICB.</w:t>
      </w:r>
    </w:p>
    <w:p w14:paraId="64E655D9" w14:textId="77777777" w:rsidR="00893D69" w:rsidRPr="00893D69" w:rsidRDefault="00893D69" w:rsidP="004A327C">
      <w:pPr>
        <w:pStyle w:val="ListParagraph"/>
        <w:jc w:val="both"/>
        <w:rPr>
          <w:rFonts w:ascii="Arial" w:eastAsiaTheme="minorHAnsi" w:hAnsi="Arial" w:cs="Arial"/>
          <w:bCs/>
        </w:rPr>
      </w:pPr>
    </w:p>
    <w:p w14:paraId="737848BC" w14:textId="77777777" w:rsidR="00893D69" w:rsidRPr="00893D69" w:rsidRDefault="00893D69" w:rsidP="004A327C">
      <w:pPr>
        <w:pStyle w:val="ListParagraph"/>
        <w:numPr>
          <w:ilvl w:val="0"/>
          <w:numId w:val="1"/>
        </w:numPr>
        <w:jc w:val="both"/>
        <w:rPr>
          <w:rFonts w:ascii="Arial" w:eastAsiaTheme="minorHAnsi" w:hAnsi="Arial" w:cs="Arial"/>
          <w:bCs/>
        </w:rPr>
      </w:pPr>
      <w:r w:rsidRPr="00893D69">
        <w:rPr>
          <w:rFonts w:ascii="Arial" w:eastAsiaTheme="minorHAnsi" w:hAnsi="Arial" w:cs="Arial"/>
          <w:bCs/>
        </w:rPr>
        <w:t>The Committee will review their own effectiveness and produce a Committee annual report as determined by detail set out in their own ICB’s Constitution and Standing Orders.</w:t>
      </w:r>
    </w:p>
    <w:p w14:paraId="688B4B81" w14:textId="77777777" w:rsidR="00893D69" w:rsidRPr="00893D69" w:rsidRDefault="00893D69" w:rsidP="004A327C">
      <w:pPr>
        <w:pStyle w:val="ListParagraph"/>
        <w:jc w:val="both"/>
        <w:rPr>
          <w:rFonts w:ascii="Arial" w:eastAsiaTheme="minorHAnsi" w:hAnsi="Arial" w:cs="Arial"/>
          <w:bCs/>
        </w:rPr>
      </w:pPr>
    </w:p>
    <w:p w14:paraId="42DC93C4" w14:textId="64E6E33F" w:rsidR="00893D69" w:rsidRDefault="00893D69" w:rsidP="004A327C">
      <w:pPr>
        <w:pStyle w:val="ListParagraph"/>
        <w:numPr>
          <w:ilvl w:val="0"/>
          <w:numId w:val="1"/>
        </w:numPr>
        <w:jc w:val="both"/>
        <w:rPr>
          <w:rFonts w:ascii="Arial" w:eastAsiaTheme="minorHAnsi" w:hAnsi="Arial" w:cs="Arial"/>
          <w:bCs/>
        </w:rPr>
      </w:pPr>
      <w:r w:rsidRPr="00893D69">
        <w:rPr>
          <w:rFonts w:ascii="Arial" w:eastAsiaTheme="minorHAnsi" w:hAnsi="Arial" w:cs="Arial"/>
          <w:bCs/>
        </w:rPr>
        <w:t>Any minutes or key messages will be presented to the ICB Board as determined by each ICB's Constitution and Standing Orders.</w:t>
      </w:r>
    </w:p>
    <w:p w14:paraId="4C11C28E" w14:textId="77777777" w:rsidR="00212D92" w:rsidRPr="00212D92" w:rsidRDefault="00212D92" w:rsidP="004A327C">
      <w:pPr>
        <w:pStyle w:val="ListParagraph"/>
        <w:jc w:val="both"/>
        <w:rPr>
          <w:rFonts w:ascii="Arial" w:eastAsiaTheme="minorHAnsi" w:hAnsi="Arial" w:cs="Arial"/>
          <w:bCs/>
        </w:rPr>
      </w:pPr>
    </w:p>
    <w:p w14:paraId="383B0A95" w14:textId="08F5BC7C" w:rsidR="00212D92" w:rsidRPr="00212D92" w:rsidRDefault="00212D92" w:rsidP="004A327C">
      <w:pPr>
        <w:jc w:val="both"/>
        <w:rPr>
          <w:rFonts w:ascii="Arial" w:eastAsiaTheme="minorHAnsi" w:hAnsi="Arial" w:cs="Arial"/>
          <w:b/>
        </w:rPr>
      </w:pPr>
      <w:r>
        <w:rPr>
          <w:rFonts w:ascii="Arial" w:eastAsiaTheme="minorHAnsi" w:hAnsi="Arial" w:cs="Arial"/>
          <w:b/>
        </w:rPr>
        <w:t>Review of the terms of reference</w:t>
      </w:r>
    </w:p>
    <w:p w14:paraId="4F7CD3EA" w14:textId="77777777" w:rsidR="008D21D1" w:rsidRPr="008D21D1" w:rsidRDefault="008D21D1" w:rsidP="004A327C">
      <w:pPr>
        <w:jc w:val="both"/>
        <w:rPr>
          <w:rFonts w:ascii="Arial" w:eastAsiaTheme="minorHAnsi" w:hAnsi="Arial" w:cs="Arial"/>
          <w:bCs/>
        </w:rPr>
      </w:pPr>
    </w:p>
    <w:p w14:paraId="3F29ED2B" w14:textId="34315DC3" w:rsidR="008721A8" w:rsidRDefault="008D21D1" w:rsidP="004A327C">
      <w:pPr>
        <w:pStyle w:val="ListParagraph"/>
        <w:numPr>
          <w:ilvl w:val="0"/>
          <w:numId w:val="1"/>
        </w:numPr>
        <w:jc w:val="both"/>
        <w:rPr>
          <w:rFonts w:ascii="Arial" w:eastAsiaTheme="minorHAnsi" w:hAnsi="Arial" w:cs="Arial"/>
          <w:bCs/>
        </w:rPr>
      </w:pPr>
      <w:r w:rsidRPr="008D21D1">
        <w:rPr>
          <w:rFonts w:ascii="Arial" w:eastAsiaTheme="minorHAnsi" w:hAnsi="Arial" w:cs="Arial"/>
          <w:bCs/>
        </w:rPr>
        <w:t>These terms of reference will be reviewed in February 2025 and thereafter annually and/or each time the Pharmacy Manual is re-published to ensure they remain consistent with regulatory updates and changes.</w:t>
      </w:r>
    </w:p>
    <w:p w14:paraId="52525134" w14:textId="77777777" w:rsidR="00212D92" w:rsidRDefault="00212D92" w:rsidP="00212D92">
      <w:pPr>
        <w:rPr>
          <w:rFonts w:ascii="Arial" w:eastAsiaTheme="minorHAnsi" w:hAnsi="Arial" w:cs="Arial"/>
          <w:bCs/>
        </w:rPr>
      </w:pPr>
    </w:p>
    <w:p w14:paraId="3B6C0091" w14:textId="77777777" w:rsidR="00212D92" w:rsidRDefault="00212D92" w:rsidP="00212D92">
      <w:pPr>
        <w:rPr>
          <w:rFonts w:ascii="Arial" w:eastAsiaTheme="minorHAnsi" w:hAnsi="Arial" w:cs="Arial"/>
          <w:bCs/>
        </w:rPr>
      </w:pPr>
    </w:p>
    <w:p w14:paraId="1A243DD8" w14:textId="77777777" w:rsidR="00987971" w:rsidRDefault="00987971" w:rsidP="00212D92">
      <w:pPr>
        <w:rPr>
          <w:rFonts w:ascii="Arial" w:eastAsiaTheme="minorHAnsi" w:hAnsi="Arial" w:cs="Arial"/>
          <w:bCs/>
        </w:rPr>
      </w:pPr>
    </w:p>
    <w:p w14:paraId="761A4181" w14:textId="08A09DB6" w:rsidR="001C185D" w:rsidRDefault="001C185D">
      <w:pPr>
        <w:rPr>
          <w:rFonts w:ascii="Arial" w:eastAsiaTheme="minorHAnsi" w:hAnsi="Arial" w:cs="Arial"/>
          <w:bCs/>
        </w:rPr>
      </w:pPr>
      <w:r>
        <w:rPr>
          <w:rFonts w:ascii="Arial" w:eastAsiaTheme="minorHAnsi" w:hAnsi="Arial" w:cs="Arial"/>
          <w:bCs/>
        </w:rPr>
        <w:br w:type="page"/>
      </w:r>
    </w:p>
    <w:p w14:paraId="14CEF4BC" w14:textId="77777777" w:rsidR="00987971" w:rsidRDefault="00987971" w:rsidP="00212D92">
      <w:pPr>
        <w:rPr>
          <w:rFonts w:ascii="Arial" w:eastAsiaTheme="minorHAnsi" w:hAnsi="Arial" w:cs="Arial"/>
          <w:bCs/>
        </w:rPr>
      </w:pPr>
    </w:p>
    <w:p w14:paraId="7B1731C0" w14:textId="2757517E" w:rsidR="0081253C" w:rsidRPr="0081253C" w:rsidRDefault="0081253C" w:rsidP="0081253C">
      <w:pPr>
        <w:jc w:val="center"/>
        <w:rPr>
          <w:rFonts w:ascii="Arial" w:eastAsiaTheme="minorHAnsi" w:hAnsi="Arial" w:cs="Arial"/>
          <w:b/>
        </w:rPr>
      </w:pPr>
      <w:r w:rsidRPr="0081253C">
        <w:rPr>
          <w:rFonts w:ascii="Arial" w:eastAsiaTheme="minorHAnsi" w:hAnsi="Arial" w:cs="Arial"/>
          <w:b/>
        </w:rPr>
        <w:t>Addendum</w:t>
      </w:r>
    </w:p>
    <w:p w14:paraId="74502623" w14:textId="2FD368AA" w:rsidR="0081253C" w:rsidRPr="0081253C" w:rsidRDefault="0081253C" w:rsidP="0081253C">
      <w:pPr>
        <w:jc w:val="center"/>
        <w:rPr>
          <w:rFonts w:ascii="Arial" w:eastAsiaTheme="minorHAnsi" w:hAnsi="Arial" w:cs="Arial"/>
          <w:b/>
        </w:rPr>
      </w:pPr>
      <w:r w:rsidRPr="0081253C">
        <w:rPr>
          <w:rFonts w:ascii="Arial" w:eastAsiaTheme="minorHAnsi" w:hAnsi="Arial" w:cs="Arial"/>
          <w:b/>
        </w:rPr>
        <w:t>Committees in Common – Membership from other Integrated Care Boards (ICBs)</w:t>
      </w:r>
    </w:p>
    <w:p w14:paraId="609114FA" w14:textId="77777777" w:rsidR="0081253C" w:rsidRDefault="0081253C" w:rsidP="0081253C">
      <w:pPr>
        <w:jc w:val="center"/>
        <w:rPr>
          <w:rFonts w:ascii="Arial" w:eastAsiaTheme="minorHAnsi" w:hAnsi="Arial" w:cs="Arial"/>
          <w:bCs/>
        </w:rPr>
      </w:pPr>
    </w:p>
    <w:p w14:paraId="422E75FF" w14:textId="77777777" w:rsidR="00A91330" w:rsidRPr="00101874" w:rsidRDefault="00A91330" w:rsidP="00A91330">
      <w:pPr>
        <w:rPr>
          <w:rFonts w:ascii="Arial" w:hAnsi="Arial" w:cs="Arial"/>
          <w:b/>
          <w:bCs/>
        </w:rPr>
      </w:pPr>
      <w:r w:rsidRPr="00101874">
        <w:rPr>
          <w:rFonts w:ascii="Arial" w:hAnsi="Arial" w:cs="Arial"/>
          <w:b/>
          <w:bCs/>
        </w:rPr>
        <w:t>South Yorkshire</w:t>
      </w:r>
    </w:p>
    <w:p w14:paraId="2014996A" w14:textId="77777777" w:rsidR="00A91330" w:rsidRPr="00101874" w:rsidRDefault="00A91330" w:rsidP="00A91330">
      <w:pPr>
        <w:rPr>
          <w:rFonts w:ascii="Arial" w:hAnsi="Arial" w:cs="Arial"/>
        </w:rPr>
      </w:pPr>
      <w:r w:rsidRPr="00101874">
        <w:rPr>
          <w:rFonts w:ascii="Arial" w:hAnsi="Arial" w:cs="Arial"/>
        </w:rPr>
        <w:t xml:space="preserve">Primary Care Lead, NHS South Yorkshire (Nominated Deputy – Community Pharmacy Clinical Lead). </w:t>
      </w:r>
    </w:p>
    <w:p w14:paraId="514E462F" w14:textId="06199C64" w:rsidR="00A91330" w:rsidRPr="00101874" w:rsidRDefault="00A91330" w:rsidP="00A91330">
      <w:pPr>
        <w:rPr>
          <w:rFonts w:ascii="Arial" w:hAnsi="Arial" w:cs="Arial"/>
          <w:b/>
          <w:bCs/>
        </w:rPr>
      </w:pPr>
      <w:r w:rsidRPr="00101874">
        <w:rPr>
          <w:rFonts w:ascii="Arial" w:hAnsi="Arial" w:cs="Arial"/>
        </w:rPr>
        <w:t xml:space="preserve">Lay </w:t>
      </w:r>
      <w:r w:rsidR="00101874">
        <w:rPr>
          <w:rFonts w:ascii="Arial" w:hAnsi="Arial" w:cs="Arial"/>
        </w:rPr>
        <w:t>m</w:t>
      </w:r>
      <w:r w:rsidRPr="00101874">
        <w:rPr>
          <w:rFonts w:ascii="Arial" w:hAnsi="Arial" w:cs="Arial"/>
        </w:rPr>
        <w:t>ember</w:t>
      </w:r>
    </w:p>
    <w:p w14:paraId="42E74846" w14:textId="77777777" w:rsidR="00A91330" w:rsidRPr="00101874" w:rsidRDefault="00A91330" w:rsidP="00A91330">
      <w:pPr>
        <w:rPr>
          <w:rFonts w:ascii="Arial" w:hAnsi="Arial" w:cs="Arial"/>
          <w:b/>
          <w:bCs/>
        </w:rPr>
      </w:pPr>
    </w:p>
    <w:p w14:paraId="3DCC7F0B" w14:textId="77777777" w:rsidR="00A91330" w:rsidRPr="00101874" w:rsidRDefault="00A91330" w:rsidP="00A91330">
      <w:pPr>
        <w:rPr>
          <w:rFonts w:ascii="Arial" w:hAnsi="Arial" w:cs="Arial"/>
          <w:b/>
          <w:bCs/>
        </w:rPr>
      </w:pPr>
    </w:p>
    <w:p w14:paraId="6932AC20" w14:textId="77777777" w:rsidR="00A91330" w:rsidRPr="00101874" w:rsidRDefault="00A91330" w:rsidP="00A91330">
      <w:pPr>
        <w:rPr>
          <w:rFonts w:ascii="Arial" w:hAnsi="Arial" w:cs="Arial"/>
          <w:b/>
          <w:bCs/>
        </w:rPr>
      </w:pPr>
      <w:r w:rsidRPr="00101874">
        <w:rPr>
          <w:rFonts w:ascii="Arial" w:hAnsi="Arial" w:cs="Arial"/>
          <w:b/>
          <w:bCs/>
        </w:rPr>
        <w:t>West Yorkshire</w:t>
      </w:r>
    </w:p>
    <w:p w14:paraId="6693AF56" w14:textId="77777777" w:rsidR="00A91330" w:rsidRPr="00101874" w:rsidRDefault="00A91330" w:rsidP="00A91330">
      <w:pPr>
        <w:rPr>
          <w:rFonts w:ascii="Arial" w:hAnsi="Arial" w:cs="Arial"/>
        </w:rPr>
      </w:pPr>
      <w:r w:rsidRPr="00101874">
        <w:rPr>
          <w:rFonts w:ascii="Arial" w:hAnsi="Arial" w:cs="Arial"/>
        </w:rPr>
        <w:t>Senior Primary Care Manager, NHS West Yorkshire ICB (Nominated Deputy – Community Pharmacy Clinical Lead)</w:t>
      </w:r>
    </w:p>
    <w:p w14:paraId="4ABA72EC" w14:textId="257ECAE4" w:rsidR="00A91330" w:rsidRPr="00E2595E" w:rsidRDefault="00A91330" w:rsidP="00A91330">
      <w:pPr>
        <w:rPr>
          <w:rFonts w:ascii="Arial" w:hAnsi="Arial" w:cs="Arial"/>
        </w:rPr>
      </w:pPr>
      <w:r w:rsidRPr="00101874">
        <w:rPr>
          <w:rFonts w:ascii="Arial" w:hAnsi="Arial" w:cs="Arial"/>
        </w:rPr>
        <w:t xml:space="preserve">Lay </w:t>
      </w:r>
      <w:r w:rsidR="00101874">
        <w:rPr>
          <w:rFonts w:ascii="Arial" w:hAnsi="Arial" w:cs="Arial"/>
        </w:rPr>
        <w:t>m</w:t>
      </w:r>
      <w:r w:rsidRPr="00101874">
        <w:rPr>
          <w:rFonts w:ascii="Arial" w:hAnsi="Arial" w:cs="Arial"/>
        </w:rPr>
        <w:t>ember</w:t>
      </w:r>
      <w:r w:rsidRPr="00E2595E">
        <w:rPr>
          <w:rFonts w:ascii="Arial" w:hAnsi="Arial" w:cs="Arial"/>
        </w:rPr>
        <w:t xml:space="preserve"> </w:t>
      </w:r>
    </w:p>
    <w:p w14:paraId="5147030B" w14:textId="77777777" w:rsidR="0081253C" w:rsidRDefault="0081253C" w:rsidP="00A91330">
      <w:pPr>
        <w:rPr>
          <w:rFonts w:ascii="Arial" w:eastAsiaTheme="minorHAnsi" w:hAnsi="Arial" w:cs="Arial"/>
          <w:bCs/>
        </w:rPr>
      </w:pPr>
    </w:p>
    <w:p w14:paraId="344B64C8" w14:textId="6789329F" w:rsidR="003E5617" w:rsidRDefault="003E5617">
      <w:pPr>
        <w:rPr>
          <w:rFonts w:ascii="Arial" w:eastAsiaTheme="minorHAnsi" w:hAnsi="Arial" w:cs="Arial"/>
          <w:bCs/>
        </w:rPr>
      </w:pPr>
      <w:r>
        <w:rPr>
          <w:rFonts w:ascii="Arial" w:eastAsiaTheme="minorHAnsi" w:hAnsi="Arial" w:cs="Arial"/>
          <w:bCs/>
        </w:rPr>
        <w:br w:type="page"/>
      </w:r>
    </w:p>
    <w:p w14:paraId="1567E11F" w14:textId="6D02E566" w:rsidR="00101874" w:rsidRPr="003E5617" w:rsidRDefault="003E5617" w:rsidP="00A91330">
      <w:pPr>
        <w:rPr>
          <w:rFonts w:ascii="Arial" w:eastAsiaTheme="minorHAnsi" w:hAnsi="Arial" w:cs="Arial"/>
          <w:b/>
        </w:rPr>
      </w:pPr>
      <w:r w:rsidRPr="003E5617">
        <w:rPr>
          <w:rFonts w:ascii="Arial" w:eastAsiaTheme="minorHAnsi" w:hAnsi="Arial" w:cs="Arial"/>
          <w:b/>
        </w:rPr>
        <w:lastRenderedPageBreak/>
        <w:t>Appendix 1</w:t>
      </w:r>
    </w:p>
    <w:p w14:paraId="3B39B6EE" w14:textId="77777777" w:rsidR="003E5617" w:rsidRDefault="003E5617" w:rsidP="00A91330">
      <w:pPr>
        <w:rPr>
          <w:rFonts w:ascii="Arial" w:eastAsiaTheme="minorHAnsi" w:hAnsi="Arial" w:cs="Arial"/>
          <w:bCs/>
        </w:rPr>
      </w:pPr>
    </w:p>
    <w:tbl>
      <w:tblPr>
        <w:tblStyle w:val="TableGrid"/>
        <w:tblW w:w="9924" w:type="dxa"/>
        <w:tblInd w:w="-431"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top w:w="8" w:type="dxa"/>
          <w:left w:w="152" w:type="dxa"/>
        </w:tblCellMar>
        <w:tblLook w:val="04A0" w:firstRow="1" w:lastRow="0" w:firstColumn="1" w:lastColumn="0" w:noHBand="0" w:noVBand="1"/>
      </w:tblPr>
      <w:tblGrid>
        <w:gridCol w:w="5955"/>
        <w:gridCol w:w="2126"/>
        <w:gridCol w:w="1843"/>
      </w:tblGrid>
      <w:tr w:rsidR="00A627FF" w:rsidRPr="0005101C" w14:paraId="7229E1D0" w14:textId="77777777" w:rsidTr="00A627FF">
        <w:trPr>
          <w:trHeight w:val="552"/>
        </w:trPr>
        <w:tc>
          <w:tcPr>
            <w:tcW w:w="5955" w:type="dxa"/>
            <w:shd w:val="clear" w:color="auto" w:fill="1C6CB4"/>
          </w:tcPr>
          <w:p w14:paraId="1AACAD65" w14:textId="2C3320B9" w:rsidR="00A627FF" w:rsidRPr="0005101C" w:rsidRDefault="00A627FF" w:rsidP="00A627FF">
            <w:pPr>
              <w:spacing w:line="259" w:lineRule="auto"/>
              <w:ind w:right="326"/>
              <w:rPr>
                <w:rFonts w:ascii="Arial" w:hAnsi="Arial" w:cs="Arial"/>
                <w:sz w:val="20"/>
                <w:szCs w:val="20"/>
              </w:rPr>
            </w:pPr>
            <w:r w:rsidRPr="0005101C">
              <w:rPr>
                <w:rFonts w:ascii="Arial" w:hAnsi="Arial" w:cs="Arial"/>
                <w:b/>
                <w:color w:val="FFFFFF"/>
                <w:sz w:val="20"/>
                <w:szCs w:val="20"/>
              </w:rPr>
              <w:t>Regulatory provision</w:t>
            </w:r>
          </w:p>
        </w:tc>
        <w:tc>
          <w:tcPr>
            <w:tcW w:w="2126" w:type="dxa"/>
            <w:shd w:val="clear" w:color="auto" w:fill="1C6CB4"/>
          </w:tcPr>
          <w:p w14:paraId="4D73549B" w14:textId="533BFD41" w:rsidR="00A627FF" w:rsidRPr="00A627FF" w:rsidRDefault="00A627FF" w:rsidP="0022260C">
            <w:pPr>
              <w:spacing w:line="259" w:lineRule="auto"/>
              <w:ind w:right="326"/>
              <w:rPr>
                <w:rFonts w:ascii="Arial" w:hAnsi="Arial" w:cs="Arial"/>
                <w:b/>
                <w:bCs/>
                <w:sz w:val="20"/>
                <w:szCs w:val="20"/>
              </w:rPr>
            </w:pPr>
            <w:r w:rsidRPr="00A627FF">
              <w:rPr>
                <w:rFonts w:ascii="Arial" w:hAnsi="Arial" w:cs="Arial"/>
                <w:b/>
                <w:bCs/>
                <w:color w:val="FFFFFF" w:themeColor="background1"/>
                <w:sz w:val="20"/>
                <w:szCs w:val="20"/>
              </w:rPr>
              <w:t>Decision maker</w:t>
            </w:r>
          </w:p>
        </w:tc>
        <w:tc>
          <w:tcPr>
            <w:tcW w:w="1843" w:type="dxa"/>
            <w:shd w:val="clear" w:color="auto" w:fill="1C6CB4"/>
          </w:tcPr>
          <w:p w14:paraId="5C81947A" w14:textId="77777777" w:rsidR="00A627FF" w:rsidRPr="0005101C" w:rsidRDefault="00A627FF" w:rsidP="0022260C">
            <w:pPr>
              <w:spacing w:line="259" w:lineRule="auto"/>
              <w:rPr>
                <w:rFonts w:ascii="Arial" w:hAnsi="Arial" w:cs="Arial"/>
                <w:sz w:val="20"/>
                <w:szCs w:val="20"/>
              </w:rPr>
            </w:pPr>
            <w:r w:rsidRPr="0005101C">
              <w:rPr>
                <w:rFonts w:ascii="Arial" w:hAnsi="Arial" w:cs="Arial"/>
                <w:b/>
                <w:color w:val="FFFFFF"/>
                <w:sz w:val="20"/>
                <w:szCs w:val="20"/>
              </w:rPr>
              <w:t>Chapter of manual</w:t>
            </w:r>
          </w:p>
        </w:tc>
      </w:tr>
      <w:tr w:rsidR="00A627FF" w:rsidRPr="0005101C" w14:paraId="44E4BC21" w14:textId="77777777" w:rsidTr="00A627FF">
        <w:trPr>
          <w:trHeight w:val="574"/>
        </w:trPr>
        <w:tc>
          <w:tcPr>
            <w:tcW w:w="5955" w:type="dxa"/>
          </w:tcPr>
          <w:p w14:paraId="4BC8CC11"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Regulations 13, 14 and 21A – determination of application (current need)</w:t>
            </w:r>
          </w:p>
        </w:tc>
        <w:tc>
          <w:tcPr>
            <w:tcW w:w="2126" w:type="dxa"/>
          </w:tcPr>
          <w:p w14:paraId="71498A6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2D4F96A4"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12</w:t>
            </w:r>
          </w:p>
          <w:p w14:paraId="6152E9E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22</w:t>
            </w:r>
          </w:p>
        </w:tc>
      </w:tr>
      <w:tr w:rsidR="00A627FF" w:rsidRPr="0005101C" w14:paraId="012AF29C" w14:textId="77777777" w:rsidTr="00A627FF">
        <w:trPr>
          <w:trHeight w:val="564"/>
        </w:trPr>
        <w:tc>
          <w:tcPr>
            <w:tcW w:w="5955" w:type="dxa"/>
          </w:tcPr>
          <w:p w14:paraId="16121D13"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Regulations 15, 16 and 21A – determination of application (future need)</w:t>
            </w:r>
          </w:p>
        </w:tc>
        <w:tc>
          <w:tcPr>
            <w:tcW w:w="2126" w:type="dxa"/>
          </w:tcPr>
          <w:p w14:paraId="4FF228A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180DBAAD"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13</w:t>
            </w:r>
          </w:p>
          <w:p w14:paraId="61BF40EF"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22</w:t>
            </w:r>
          </w:p>
        </w:tc>
      </w:tr>
      <w:tr w:rsidR="00A627FF" w:rsidRPr="0005101C" w14:paraId="0267E99E" w14:textId="77777777" w:rsidTr="00A627FF">
        <w:trPr>
          <w:trHeight w:val="562"/>
        </w:trPr>
        <w:tc>
          <w:tcPr>
            <w:tcW w:w="5955" w:type="dxa"/>
          </w:tcPr>
          <w:p w14:paraId="67A9FFB8"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Regulations 17, 19 and 21A – determination of application (current improvement/better access)</w:t>
            </w:r>
          </w:p>
        </w:tc>
        <w:tc>
          <w:tcPr>
            <w:tcW w:w="2126" w:type="dxa"/>
          </w:tcPr>
          <w:p w14:paraId="7FC426C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230FE1E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14</w:t>
            </w:r>
          </w:p>
          <w:p w14:paraId="335942E4"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22</w:t>
            </w:r>
          </w:p>
        </w:tc>
      </w:tr>
      <w:tr w:rsidR="00A627FF" w:rsidRPr="0005101C" w14:paraId="4013D91D" w14:textId="77777777" w:rsidTr="00A627FF">
        <w:trPr>
          <w:trHeight w:val="562"/>
        </w:trPr>
        <w:tc>
          <w:tcPr>
            <w:tcW w:w="5955" w:type="dxa"/>
          </w:tcPr>
          <w:p w14:paraId="6779FC22"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Regulations 18 and 19 – determination of application (unforeseen benefits)</w:t>
            </w:r>
          </w:p>
        </w:tc>
        <w:tc>
          <w:tcPr>
            <w:tcW w:w="2126" w:type="dxa"/>
          </w:tcPr>
          <w:p w14:paraId="4DCA84D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6D57DAF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15</w:t>
            </w:r>
          </w:p>
          <w:p w14:paraId="5E7816E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22</w:t>
            </w:r>
          </w:p>
        </w:tc>
      </w:tr>
      <w:tr w:rsidR="00A627FF" w:rsidRPr="0005101C" w14:paraId="4764FF8C" w14:textId="77777777" w:rsidTr="00A627FF">
        <w:trPr>
          <w:trHeight w:val="562"/>
        </w:trPr>
        <w:tc>
          <w:tcPr>
            <w:tcW w:w="5955" w:type="dxa"/>
          </w:tcPr>
          <w:p w14:paraId="547CF9A9"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Regulations 20, 21 and 21A – determination of application (future improvement/better access)</w:t>
            </w:r>
          </w:p>
        </w:tc>
        <w:tc>
          <w:tcPr>
            <w:tcW w:w="2126" w:type="dxa"/>
          </w:tcPr>
          <w:p w14:paraId="5982B73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6BB854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16</w:t>
            </w:r>
          </w:p>
          <w:p w14:paraId="62F40B5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22</w:t>
            </w:r>
          </w:p>
        </w:tc>
      </w:tr>
      <w:tr w:rsidR="00A627FF" w:rsidRPr="0005101C" w14:paraId="54DD22CC" w14:textId="77777777" w:rsidTr="00A627FF">
        <w:trPr>
          <w:trHeight w:val="534"/>
        </w:trPr>
        <w:tc>
          <w:tcPr>
            <w:tcW w:w="5955" w:type="dxa"/>
          </w:tcPr>
          <w:p w14:paraId="08AC7501"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23 – determination of application (application from NHS chemist in respect of providing directed services)</w:t>
            </w:r>
          </w:p>
        </w:tc>
        <w:tc>
          <w:tcPr>
            <w:tcW w:w="2126" w:type="dxa"/>
          </w:tcPr>
          <w:p w14:paraId="5B11645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4543CB5A"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24</w:t>
            </w:r>
          </w:p>
        </w:tc>
      </w:tr>
      <w:tr w:rsidR="00A627FF" w:rsidRPr="0005101C" w14:paraId="3F51EADC" w14:textId="77777777" w:rsidTr="00A627FF">
        <w:trPr>
          <w:trHeight w:val="577"/>
        </w:trPr>
        <w:tc>
          <w:tcPr>
            <w:tcW w:w="5955" w:type="dxa"/>
          </w:tcPr>
          <w:p w14:paraId="428CC38D"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24 – determination of application (relocation involving no significant change)</w:t>
            </w:r>
          </w:p>
        </w:tc>
        <w:tc>
          <w:tcPr>
            <w:tcW w:w="2126" w:type="dxa"/>
          </w:tcPr>
          <w:p w14:paraId="2D36D11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2B00232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17 Chapter 22</w:t>
            </w:r>
          </w:p>
        </w:tc>
      </w:tr>
      <w:tr w:rsidR="00A627FF" w:rsidRPr="0005101C" w14:paraId="431CC9CD" w14:textId="77777777" w:rsidTr="00A627FF">
        <w:trPr>
          <w:trHeight w:val="574"/>
        </w:trPr>
        <w:tc>
          <w:tcPr>
            <w:tcW w:w="5955" w:type="dxa"/>
          </w:tcPr>
          <w:p w14:paraId="44ABC347"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25 – determination of application (distance selling pharmacies)</w:t>
            </w:r>
          </w:p>
        </w:tc>
        <w:tc>
          <w:tcPr>
            <w:tcW w:w="2126" w:type="dxa"/>
          </w:tcPr>
          <w:p w14:paraId="0C6F4DF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250EC80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18</w:t>
            </w:r>
          </w:p>
        </w:tc>
      </w:tr>
      <w:tr w:rsidR="00A627FF" w:rsidRPr="0005101C" w14:paraId="1D691E52" w14:textId="77777777" w:rsidTr="00A627FF">
        <w:trPr>
          <w:trHeight w:val="565"/>
        </w:trPr>
        <w:tc>
          <w:tcPr>
            <w:tcW w:w="5955" w:type="dxa"/>
          </w:tcPr>
          <w:p w14:paraId="427690B8"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26(1) – determination of application (change of ownership)</w:t>
            </w:r>
          </w:p>
        </w:tc>
        <w:tc>
          <w:tcPr>
            <w:tcW w:w="2126" w:type="dxa"/>
          </w:tcPr>
          <w:p w14:paraId="599AB51D"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1F23044F"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19</w:t>
            </w:r>
          </w:p>
        </w:tc>
      </w:tr>
      <w:tr w:rsidR="00A627FF" w:rsidRPr="0005101C" w14:paraId="10F8D5BD" w14:textId="77777777" w:rsidTr="00A627FF">
        <w:trPr>
          <w:trHeight w:val="839"/>
        </w:trPr>
        <w:tc>
          <w:tcPr>
            <w:tcW w:w="5955" w:type="dxa"/>
          </w:tcPr>
          <w:p w14:paraId="64BCFE89"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26(2) – determination of application (relocation involving no significant change/change of ownership)</w:t>
            </w:r>
          </w:p>
        </w:tc>
        <w:tc>
          <w:tcPr>
            <w:tcW w:w="2126" w:type="dxa"/>
          </w:tcPr>
          <w:p w14:paraId="417DCA4D"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11C6C17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21 Chapter 22</w:t>
            </w:r>
          </w:p>
        </w:tc>
      </w:tr>
      <w:tr w:rsidR="00A627FF" w:rsidRPr="0005101C" w14:paraId="27DAADFF" w14:textId="77777777" w:rsidTr="00A627FF">
        <w:trPr>
          <w:trHeight w:val="870"/>
        </w:trPr>
        <w:tc>
          <w:tcPr>
            <w:tcW w:w="5955" w:type="dxa"/>
          </w:tcPr>
          <w:p w14:paraId="352C6F87"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26A – determination of preliminary matters including refusal of application for reasons set out in Regulation 26A(5)(b)</w:t>
            </w:r>
          </w:p>
        </w:tc>
        <w:tc>
          <w:tcPr>
            <w:tcW w:w="2126" w:type="dxa"/>
          </w:tcPr>
          <w:p w14:paraId="04BF6CE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w:t>
            </w:r>
          </w:p>
        </w:tc>
        <w:tc>
          <w:tcPr>
            <w:tcW w:w="1843" w:type="dxa"/>
          </w:tcPr>
          <w:p w14:paraId="3EC1B21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20</w:t>
            </w:r>
          </w:p>
        </w:tc>
      </w:tr>
      <w:tr w:rsidR="00A627FF" w:rsidRPr="0005101C" w14:paraId="6DC417A9" w14:textId="77777777" w:rsidTr="00A627FF">
        <w:trPr>
          <w:trHeight w:val="562"/>
        </w:trPr>
        <w:tc>
          <w:tcPr>
            <w:tcW w:w="5955" w:type="dxa"/>
          </w:tcPr>
          <w:p w14:paraId="0B51D09A"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26A – determination of application (consolidation onto an existing site)</w:t>
            </w:r>
          </w:p>
        </w:tc>
        <w:tc>
          <w:tcPr>
            <w:tcW w:w="2126" w:type="dxa"/>
          </w:tcPr>
          <w:p w14:paraId="5CBC69ED"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43389BF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20</w:t>
            </w:r>
          </w:p>
        </w:tc>
      </w:tr>
      <w:tr w:rsidR="00A627FF" w:rsidRPr="0005101C" w14:paraId="6BA721D5" w14:textId="77777777" w:rsidTr="00A627FF">
        <w:trPr>
          <w:trHeight w:val="562"/>
        </w:trPr>
        <w:tc>
          <w:tcPr>
            <w:tcW w:w="5955" w:type="dxa"/>
          </w:tcPr>
          <w:p w14:paraId="16CCB2CC"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27 – determination of application (for temporary listing arising out of suspension)</w:t>
            </w:r>
          </w:p>
        </w:tc>
        <w:tc>
          <w:tcPr>
            <w:tcW w:w="2126" w:type="dxa"/>
          </w:tcPr>
          <w:p w14:paraId="45F3EE1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3A01A1C0"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25</w:t>
            </w:r>
          </w:p>
        </w:tc>
      </w:tr>
      <w:tr w:rsidR="00A627FF" w:rsidRPr="0005101C" w14:paraId="169E4ACF" w14:textId="77777777" w:rsidTr="00A627FF">
        <w:trPr>
          <w:trHeight w:val="571"/>
        </w:trPr>
        <w:tc>
          <w:tcPr>
            <w:tcW w:w="5955" w:type="dxa"/>
          </w:tcPr>
          <w:p w14:paraId="05C9D57A"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28 – determination of application (exercising right of return to the pharmaceutical list)</w:t>
            </w:r>
          </w:p>
        </w:tc>
        <w:tc>
          <w:tcPr>
            <w:tcW w:w="2126" w:type="dxa"/>
          </w:tcPr>
          <w:p w14:paraId="2B0F6EC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0A19B0BF"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26</w:t>
            </w:r>
          </w:p>
        </w:tc>
      </w:tr>
      <w:tr w:rsidR="00A627FF" w:rsidRPr="0005101C" w14:paraId="0528FD3E" w14:textId="77777777" w:rsidTr="00A627FF">
        <w:trPr>
          <w:trHeight w:val="849"/>
        </w:trPr>
        <w:tc>
          <w:tcPr>
            <w:tcW w:w="5955" w:type="dxa"/>
          </w:tcPr>
          <w:p w14:paraId="51A89C3F"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29 – determination of application (temporary arrangements during emergencies/because of circumstances beyond the control of NHS chemists)</w:t>
            </w:r>
          </w:p>
        </w:tc>
        <w:tc>
          <w:tcPr>
            <w:tcW w:w="2126" w:type="dxa"/>
          </w:tcPr>
          <w:p w14:paraId="4C7F0DC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4141676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27</w:t>
            </w:r>
          </w:p>
        </w:tc>
      </w:tr>
      <w:tr w:rsidR="00A627FF" w:rsidRPr="0005101C" w14:paraId="48496FFB" w14:textId="77777777" w:rsidTr="00A627FF">
        <w:trPr>
          <w:trHeight w:val="563"/>
        </w:trPr>
        <w:tc>
          <w:tcPr>
            <w:tcW w:w="5955" w:type="dxa"/>
          </w:tcPr>
          <w:p w14:paraId="1087DBB0"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30 – refusal on language requirement for some NHS pharmacists</w:t>
            </w:r>
          </w:p>
        </w:tc>
        <w:tc>
          <w:tcPr>
            <w:tcW w:w="2126" w:type="dxa"/>
          </w:tcPr>
          <w:p w14:paraId="4703B03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738B766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w:t>
            </w:r>
          </w:p>
        </w:tc>
      </w:tr>
      <w:tr w:rsidR="00A627FF" w:rsidRPr="0005101C" w14:paraId="626C7138" w14:textId="77777777" w:rsidTr="00A627FF">
        <w:trPr>
          <w:trHeight w:val="355"/>
        </w:trPr>
        <w:tc>
          <w:tcPr>
            <w:tcW w:w="5955" w:type="dxa"/>
          </w:tcPr>
          <w:p w14:paraId="4459DD0E"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31 – refusal: same or adjacent premises</w:t>
            </w:r>
          </w:p>
        </w:tc>
        <w:tc>
          <w:tcPr>
            <w:tcW w:w="2126" w:type="dxa"/>
          </w:tcPr>
          <w:p w14:paraId="4682390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CD1A9D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1D332C5E" w14:textId="77777777" w:rsidTr="00A627FF">
        <w:trPr>
          <w:trHeight w:val="402"/>
        </w:trPr>
        <w:tc>
          <w:tcPr>
            <w:tcW w:w="5955" w:type="dxa"/>
          </w:tcPr>
          <w:p w14:paraId="75405751"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32 – deferrals arising out of LPS designations</w:t>
            </w:r>
          </w:p>
        </w:tc>
        <w:tc>
          <w:tcPr>
            <w:tcW w:w="2126" w:type="dxa"/>
          </w:tcPr>
          <w:p w14:paraId="4062C6C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28714A1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6DD546E0" w14:textId="77777777" w:rsidTr="00A627FF">
        <w:trPr>
          <w:trHeight w:val="563"/>
        </w:trPr>
        <w:tc>
          <w:tcPr>
            <w:tcW w:w="5955" w:type="dxa"/>
          </w:tcPr>
          <w:p w14:paraId="4F39E2D8"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33 – determination of suitability of an applicant to be included in a pharmaceutical list on fitness grounds</w:t>
            </w:r>
          </w:p>
        </w:tc>
        <w:tc>
          <w:tcPr>
            <w:tcW w:w="2126" w:type="dxa"/>
          </w:tcPr>
          <w:p w14:paraId="7AC06A5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42BD28D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w:t>
            </w:r>
          </w:p>
        </w:tc>
      </w:tr>
      <w:tr w:rsidR="00A627FF" w:rsidRPr="0005101C" w14:paraId="5AB8DEB1" w14:textId="77777777" w:rsidTr="00A627FF">
        <w:trPr>
          <w:trHeight w:val="563"/>
        </w:trPr>
        <w:tc>
          <w:tcPr>
            <w:tcW w:w="5955" w:type="dxa"/>
          </w:tcPr>
          <w:p w14:paraId="2A0D001A"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Regulation 34 – determination of deferral of application to be included in a pharmaceutical list on fitness grounds</w:t>
            </w:r>
          </w:p>
        </w:tc>
        <w:tc>
          <w:tcPr>
            <w:tcW w:w="2126" w:type="dxa"/>
          </w:tcPr>
          <w:p w14:paraId="4FC9C1A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0A18210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w:t>
            </w:r>
          </w:p>
        </w:tc>
      </w:tr>
      <w:tr w:rsidR="00A627FF" w:rsidRPr="0005101C" w14:paraId="517716D1" w14:textId="77777777" w:rsidTr="00A627FF">
        <w:trPr>
          <w:trHeight w:val="563"/>
        </w:trPr>
        <w:tc>
          <w:tcPr>
            <w:tcW w:w="5955" w:type="dxa"/>
          </w:tcPr>
          <w:p w14:paraId="01440685"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lastRenderedPageBreak/>
              <w:t>Regulation 35 – determination of conditional inclusion of an applicant to be included in a pharmaceutical list on fitness grounds</w:t>
            </w:r>
          </w:p>
        </w:tc>
        <w:tc>
          <w:tcPr>
            <w:tcW w:w="2126" w:type="dxa"/>
          </w:tcPr>
          <w:p w14:paraId="29BAC41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7D02049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w:t>
            </w:r>
          </w:p>
        </w:tc>
      </w:tr>
      <w:tr w:rsidR="00A627FF" w:rsidRPr="0005101C" w14:paraId="7E1BC66A" w14:textId="77777777" w:rsidTr="00A627FF">
        <w:trPr>
          <w:trHeight w:val="563"/>
        </w:trPr>
        <w:tc>
          <w:tcPr>
            <w:tcW w:w="5955" w:type="dxa"/>
          </w:tcPr>
          <w:p w14:paraId="60B33F31"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 xml:space="preserve">Regulation 36 – determination of whether an area is a controlled locality (or is part of a controlled locality), as a result of a local medical committee or local pharmaceutical committee request for such a determination or because NHS England is satisfied that such a determination is required (and </w:t>
            </w:r>
            <w:proofErr w:type="gramStart"/>
            <w:r w:rsidRPr="0005101C">
              <w:rPr>
                <w:rFonts w:ascii="Arial" w:hAnsi="Arial" w:cs="Arial"/>
                <w:sz w:val="20"/>
                <w:szCs w:val="20"/>
              </w:rPr>
              <w:t>make arrangements</w:t>
            </w:r>
            <w:proofErr w:type="gramEnd"/>
            <w:r w:rsidRPr="0005101C">
              <w:rPr>
                <w:rFonts w:ascii="Arial" w:hAnsi="Arial" w:cs="Arial"/>
                <w:sz w:val="20"/>
                <w:szCs w:val="20"/>
              </w:rPr>
              <w:t xml:space="preserve"> for any controlled locality to be clearly delineated on a published map)</w:t>
            </w:r>
          </w:p>
        </w:tc>
        <w:tc>
          <w:tcPr>
            <w:tcW w:w="2126" w:type="dxa"/>
          </w:tcPr>
          <w:p w14:paraId="578C30E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383C587F"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33</w:t>
            </w:r>
          </w:p>
        </w:tc>
      </w:tr>
      <w:tr w:rsidR="00A627FF" w:rsidRPr="0005101C" w14:paraId="224FB062" w14:textId="77777777" w:rsidTr="00A627FF">
        <w:trPr>
          <w:trHeight w:val="563"/>
        </w:trPr>
        <w:tc>
          <w:tcPr>
            <w:tcW w:w="5955" w:type="dxa"/>
          </w:tcPr>
          <w:p w14:paraId="0A97DF40"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37 – process for determining controlled localities: preliminary matters</w:t>
            </w:r>
          </w:p>
        </w:tc>
        <w:tc>
          <w:tcPr>
            <w:tcW w:w="2126" w:type="dxa"/>
          </w:tcPr>
          <w:p w14:paraId="7F5C4EC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1346E86F"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33</w:t>
            </w:r>
          </w:p>
        </w:tc>
      </w:tr>
      <w:tr w:rsidR="00A627FF" w:rsidRPr="0005101C" w14:paraId="6FC24192" w14:textId="77777777" w:rsidTr="00A627FF">
        <w:trPr>
          <w:trHeight w:val="563"/>
        </w:trPr>
        <w:tc>
          <w:tcPr>
            <w:tcW w:w="5955" w:type="dxa"/>
          </w:tcPr>
          <w:p w14:paraId="662E7312"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40 – applications for new pharmacy premises in controlled localities: refusals because of preliminary matters</w:t>
            </w:r>
          </w:p>
        </w:tc>
        <w:tc>
          <w:tcPr>
            <w:tcW w:w="2126" w:type="dxa"/>
          </w:tcPr>
          <w:p w14:paraId="1F0160B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12E82AE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55126BFE" w14:textId="77777777" w:rsidTr="00A627FF">
        <w:trPr>
          <w:trHeight w:val="563"/>
        </w:trPr>
        <w:tc>
          <w:tcPr>
            <w:tcW w:w="5955" w:type="dxa"/>
          </w:tcPr>
          <w:p w14:paraId="0A5A6897"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 xml:space="preserve">Regulations 41 and 42 – determination of whether premises are (or a best estimate is) in a reserved location (and </w:t>
            </w:r>
            <w:proofErr w:type="gramStart"/>
            <w:r w:rsidRPr="0005101C">
              <w:rPr>
                <w:rFonts w:ascii="Arial" w:hAnsi="Arial" w:cs="Arial"/>
                <w:sz w:val="20"/>
                <w:szCs w:val="20"/>
              </w:rPr>
              <w:t>make arrangements</w:t>
            </w:r>
            <w:proofErr w:type="gramEnd"/>
            <w:r w:rsidRPr="0005101C">
              <w:rPr>
                <w:rFonts w:ascii="Arial" w:hAnsi="Arial" w:cs="Arial"/>
                <w:sz w:val="20"/>
                <w:szCs w:val="20"/>
              </w:rPr>
              <w:t xml:space="preserve"> for any reserved location to be clearly delineated on a published map)</w:t>
            </w:r>
          </w:p>
        </w:tc>
        <w:tc>
          <w:tcPr>
            <w:tcW w:w="2126" w:type="dxa"/>
          </w:tcPr>
          <w:p w14:paraId="496B27B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2EDFA6E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32</w:t>
            </w:r>
          </w:p>
        </w:tc>
      </w:tr>
      <w:tr w:rsidR="00A627FF" w:rsidRPr="0005101C" w14:paraId="66C8F406" w14:textId="77777777" w:rsidTr="00A627FF">
        <w:trPr>
          <w:trHeight w:val="563"/>
        </w:trPr>
        <w:tc>
          <w:tcPr>
            <w:tcW w:w="5955" w:type="dxa"/>
          </w:tcPr>
          <w:p w14:paraId="3EC5D015"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44 – prejudice test in respect of routine applications for new pharmacy premises in a part of a controlled locality that is not a reserved location</w:t>
            </w:r>
          </w:p>
        </w:tc>
        <w:tc>
          <w:tcPr>
            <w:tcW w:w="2126" w:type="dxa"/>
          </w:tcPr>
          <w:p w14:paraId="45CC832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51D1557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32</w:t>
            </w:r>
          </w:p>
        </w:tc>
      </w:tr>
      <w:tr w:rsidR="00A627FF" w:rsidRPr="0005101C" w14:paraId="016B71A3" w14:textId="77777777" w:rsidTr="00A627FF">
        <w:trPr>
          <w:trHeight w:val="563"/>
        </w:trPr>
        <w:tc>
          <w:tcPr>
            <w:tcW w:w="5955" w:type="dxa"/>
          </w:tcPr>
          <w:p w14:paraId="464667B1"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48(2) - determination of patient application ('serious difficulty' applications)</w:t>
            </w:r>
          </w:p>
        </w:tc>
        <w:tc>
          <w:tcPr>
            <w:tcW w:w="2126" w:type="dxa"/>
          </w:tcPr>
          <w:p w14:paraId="1604BF2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4F260A7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34</w:t>
            </w:r>
          </w:p>
        </w:tc>
      </w:tr>
      <w:tr w:rsidR="00A627FF" w:rsidRPr="0005101C" w14:paraId="05CD422A" w14:textId="77777777" w:rsidTr="00A627FF">
        <w:trPr>
          <w:trHeight w:val="563"/>
        </w:trPr>
        <w:tc>
          <w:tcPr>
            <w:tcW w:w="5955" w:type="dxa"/>
          </w:tcPr>
          <w:p w14:paraId="11F332DD"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48(5) to (9) – making of arrangements with a dispensing doctor to dispense to a particular patient or patients</w:t>
            </w:r>
          </w:p>
        </w:tc>
        <w:tc>
          <w:tcPr>
            <w:tcW w:w="2126" w:type="dxa"/>
          </w:tcPr>
          <w:p w14:paraId="39F3080D"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3B88AFC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34</w:t>
            </w:r>
          </w:p>
        </w:tc>
      </w:tr>
      <w:tr w:rsidR="00A627FF" w:rsidRPr="0005101C" w14:paraId="30B6DA13" w14:textId="77777777" w:rsidTr="00A627FF">
        <w:trPr>
          <w:trHeight w:val="563"/>
        </w:trPr>
        <w:tc>
          <w:tcPr>
            <w:tcW w:w="5955" w:type="dxa"/>
          </w:tcPr>
          <w:p w14:paraId="2E6FEDF2" w14:textId="4EA23DF8" w:rsidR="00A627FF" w:rsidRPr="0005101C" w:rsidRDefault="00A627FF" w:rsidP="00A627FF">
            <w:pPr>
              <w:ind w:right="326"/>
              <w:rPr>
                <w:rFonts w:ascii="Arial" w:hAnsi="Arial" w:cs="Arial"/>
                <w:sz w:val="20"/>
                <w:szCs w:val="20"/>
              </w:rPr>
            </w:pPr>
            <w:r w:rsidRPr="0005101C">
              <w:rPr>
                <w:rFonts w:ascii="Arial" w:hAnsi="Arial" w:cs="Arial"/>
                <w:sz w:val="20"/>
                <w:szCs w:val="20"/>
              </w:rPr>
              <w:t>Regulation 50 – consideration of '</w:t>
            </w:r>
            <w:proofErr w:type="spellStart"/>
            <w:r w:rsidRPr="0005101C">
              <w:rPr>
                <w:rFonts w:ascii="Arial" w:hAnsi="Arial" w:cs="Arial"/>
                <w:sz w:val="20"/>
                <w:szCs w:val="20"/>
              </w:rPr>
              <w:t>gradualisation</w:t>
            </w:r>
            <w:proofErr w:type="spellEnd"/>
            <w:r w:rsidRPr="0005101C">
              <w:rPr>
                <w:rFonts w:ascii="Arial" w:hAnsi="Arial" w:cs="Arial"/>
                <w:sz w:val="20"/>
                <w:szCs w:val="20"/>
              </w:rPr>
              <w:t>' (i</w:t>
            </w:r>
            <w:r w:rsidR="007353A1">
              <w:rPr>
                <w:rFonts w:ascii="Arial" w:hAnsi="Arial" w:cs="Arial"/>
                <w:sz w:val="20"/>
                <w:szCs w:val="20"/>
              </w:rPr>
              <w:t>.</w:t>
            </w:r>
            <w:r w:rsidRPr="0005101C">
              <w:rPr>
                <w:rFonts w:ascii="Arial" w:hAnsi="Arial" w:cs="Arial"/>
                <w:sz w:val="20"/>
                <w:szCs w:val="20"/>
              </w:rPr>
              <w:t>e</w:t>
            </w:r>
            <w:r w:rsidR="007353A1">
              <w:rPr>
                <w:rFonts w:ascii="Arial" w:hAnsi="Arial" w:cs="Arial"/>
                <w:sz w:val="20"/>
                <w:szCs w:val="20"/>
              </w:rPr>
              <w:t>.</w:t>
            </w:r>
            <w:r w:rsidRPr="0005101C">
              <w:rPr>
                <w:rFonts w:ascii="Arial" w:hAnsi="Arial" w:cs="Arial"/>
                <w:sz w:val="20"/>
                <w:szCs w:val="20"/>
              </w:rPr>
              <w:t xml:space="preserve"> the postponement of the discontinuation of services by dispensing doctors) for an application in relation to premises in, or within 1.6km of, a controlled locality</w:t>
            </w:r>
          </w:p>
        </w:tc>
        <w:tc>
          <w:tcPr>
            <w:tcW w:w="2126" w:type="dxa"/>
          </w:tcPr>
          <w:p w14:paraId="1708289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2F0A143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33</w:t>
            </w:r>
          </w:p>
        </w:tc>
      </w:tr>
      <w:tr w:rsidR="00A627FF" w:rsidRPr="0005101C" w14:paraId="781613A4" w14:textId="77777777" w:rsidTr="00A627FF">
        <w:trPr>
          <w:trHeight w:val="563"/>
        </w:trPr>
        <w:tc>
          <w:tcPr>
            <w:tcW w:w="5955" w:type="dxa"/>
          </w:tcPr>
          <w:p w14:paraId="71D8DF0B"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Regulations 51 to 60 – determination of doctor application (outline consent and premises approval) including the taking effect of decisions, relocations, gradual introduction of premises approval, temporary provisions in cases of relocations or additional premises where premises approval has not taken effect, practice amalgamations, and lapse of outline consent and premises approval</w:t>
            </w:r>
          </w:p>
        </w:tc>
        <w:tc>
          <w:tcPr>
            <w:tcW w:w="2126" w:type="dxa"/>
          </w:tcPr>
          <w:p w14:paraId="27F1A88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7CDAFC8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34</w:t>
            </w:r>
          </w:p>
        </w:tc>
      </w:tr>
      <w:tr w:rsidR="00A627FF" w:rsidRPr="0005101C" w14:paraId="2955E3F3" w14:textId="77777777" w:rsidTr="00A627FF">
        <w:trPr>
          <w:trHeight w:val="563"/>
        </w:trPr>
        <w:tc>
          <w:tcPr>
            <w:tcW w:w="5955" w:type="dxa"/>
          </w:tcPr>
          <w:p w14:paraId="01FC63B5"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61 – temporary arrangements during emergencies or circumstances beyond the control of a dispensing doctor</w:t>
            </w:r>
          </w:p>
        </w:tc>
        <w:tc>
          <w:tcPr>
            <w:tcW w:w="2126" w:type="dxa"/>
          </w:tcPr>
          <w:p w14:paraId="4A89C43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223A157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78A4F1EE" w14:textId="77777777" w:rsidTr="00A627FF">
        <w:trPr>
          <w:trHeight w:val="437"/>
        </w:trPr>
        <w:tc>
          <w:tcPr>
            <w:tcW w:w="5955" w:type="dxa"/>
          </w:tcPr>
          <w:p w14:paraId="5F16AED4"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65(5) to (7) – direction to increase core opening hours</w:t>
            </w:r>
          </w:p>
        </w:tc>
        <w:tc>
          <w:tcPr>
            <w:tcW w:w="2126" w:type="dxa"/>
          </w:tcPr>
          <w:p w14:paraId="043DD4C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5318C75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36</w:t>
            </w:r>
          </w:p>
        </w:tc>
      </w:tr>
      <w:tr w:rsidR="00A627FF" w:rsidRPr="0005101C" w14:paraId="5FCA4B3D" w14:textId="77777777" w:rsidTr="00A627FF">
        <w:trPr>
          <w:trHeight w:val="563"/>
        </w:trPr>
        <w:tc>
          <w:tcPr>
            <w:tcW w:w="5955" w:type="dxa"/>
          </w:tcPr>
          <w:p w14:paraId="6AE22BAC"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67 – agreement of a shorter notice period for withdrawal from a pharmaceutical list</w:t>
            </w:r>
          </w:p>
        </w:tc>
        <w:tc>
          <w:tcPr>
            <w:tcW w:w="2126" w:type="dxa"/>
          </w:tcPr>
          <w:p w14:paraId="01B25B3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326174C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4AE231D6" w14:textId="77777777" w:rsidTr="00A627FF">
        <w:trPr>
          <w:trHeight w:val="563"/>
        </w:trPr>
        <w:tc>
          <w:tcPr>
            <w:tcW w:w="5955" w:type="dxa"/>
          </w:tcPr>
          <w:p w14:paraId="6EB55C8B"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69 – determination of whether there has been a breach of terms of service</w:t>
            </w:r>
          </w:p>
        </w:tc>
        <w:tc>
          <w:tcPr>
            <w:tcW w:w="2126" w:type="dxa"/>
          </w:tcPr>
          <w:p w14:paraId="3EAC243A"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6CF695EA"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1C67726C" w14:textId="77777777" w:rsidTr="00A627FF">
        <w:trPr>
          <w:trHeight w:val="563"/>
        </w:trPr>
        <w:tc>
          <w:tcPr>
            <w:tcW w:w="5955" w:type="dxa"/>
          </w:tcPr>
          <w:p w14:paraId="629EB415"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70 – determination of whether to issue a breach notice with or without an accompanying withholding of payments in connection with a breach of terms of service. Determination of whether to rescind a breach notice</w:t>
            </w:r>
          </w:p>
        </w:tc>
        <w:tc>
          <w:tcPr>
            <w:tcW w:w="2126" w:type="dxa"/>
          </w:tcPr>
          <w:p w14:paraId="7D6F858F"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3A63A96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025F9CC4" w14:textId="77777777" w:rsidTr="00A627FF">
        <w:trPr>
          <w:trHeight w:val="563"/>
        </w:trPr>
        <w:tc>
          <w:tcPr>
            <w:tcW w:w="5955" w:type="dxa"/>
          </w:tcPr>
          <w:p w14:paraId="479D5913"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71 – determination of whether to issue a remedial notice with or without an accompanying withholding of payments in connection with a breach of terms of service. Determination of whether to rescind a remedial notice</w:t>
            </w:r>
          </w:p>
        </w:tc>
        <w:tc>
          <w:tcPr>
            <w:tcW w:w="2126" w:type="dxa"/>
          </w:tcPr>
          <w:p w14:paraId="7A6EFE7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F2465B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37523DAF" w14:textId="77777777" w:rsidTr="00A627FF">
        <w:trPr>
          <w:trHeight w:val="563"/>
        </w:trPr>
        <w:tc>
          <w:tcPr>
            <w:tcW w:w="5955" w:type="dxa"/>
          </w:tcPr>
          <w:p w14:paraId="290DB8E9"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72 – determination of whether to withhold remuneration</w:t>
            </w:r>
          </w:p>
        </w:tc>
        <w:tc>
          <w:tcPr>
            <w:tcW w:w="2126" w:type="dxa"/>
          </w:tcPr>
          <w:p w14:paraId="0E7B94D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3609F6EA"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69D3BCF3" w14:textId="77777777" w:rsidTr="00A627FF">
        <w:trPr>
          <w:trHeight w:val="563"/>
        </w:trPr>
        <w:tc>
          <w:tcPr>
            <w:tcW w:w="5955" w:type="dxa"/>
          </w:tcPr>
          <w:p w14:paraId="691531C5"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lastRenderedPageBreak/>
              <w:t>Regulation 73 – determination of whether to remove premises or a chemist from the pharmaceutical list (following remedial or breach notice)</w:t>
            </w:r>
          </w:p>
        </w:tc>
        <w:tc>
          <w:tcPr>
            <w:tcW w:w="2126" w:type="dxa"/>
          </w:tcPr>
          <w:p w14:paraId="6D23528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7F22819F"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1C93D469" w14:textId="77777777" w:rsidTr="00A627FF">
        <w:trPr>
          <w:trHeight w:val="563"/>
        </w:trPr>
        <w:tc>
          <w:tcPr>
            <w:tcW w:w="5955" w:type="dxa"/>
          </w:tcPr>
          <w:p w14:paraId="7B04B0C8"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74 – determination of whether to remove premises or a chemist from the pharmaceutical list (death, incapacity or cessation of service)</w:t>
            </w:r>
          </w:p>
        </w:tc>
        <w:tc>
          <w:tcPr>
            <w:tcW w:w="2126" w:type="dxa"/>
          </w:tcPr>
          <w:p w14:paraId="7DFEE82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371E32E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24EC0178" w14:textId="77777777" w:rsidTr="00A627FF">
        <w:trPr>
          <w:trHeight w:val="563"/>
        </w:trPr>
        <w:tc>
          <w:tcPr>
            <w:tcW w:w="5955" w:type="dxa"/>
          </w:tcPr>
          <w:p w14:paraId="6E4889B9"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79 – determination of review of fitness conditions originally imposed on the grant of an application</w:t>
            </w:r>
          </w:p>
        </w:tc>
        <w:tc>
          <w:tcPr>
            <w:tcW w:w="2126" w:type="dxa"/>
          </w:tcPr>
          <w:p w14:paraId="6FD8664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5BD8BD8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32</w:t>
            </w:r>
          </w:p>
        </w:tc>
      </w:tr>
      <w:tr w:rsidR="00A627FF" w:rsidRPr="0005101C" w14:paraId="56271930" w14:textId="77777777" w:rsidTr="00A627FF">
        <w:trPr>
          <w:trHeight w:val="563"/>
        </w:trPr>
        <w:tc>
          <w:tcPr>
            <w:tcW w:w="5955" w:type="dxa"/>
          </w:tcPr>
          <w:p w14:paraId="0D012420"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80 – determination of removal of a contractor for breach of fitness conditions</w:t>
            </w:r>
          </w:p>
        </w:tc>
        <w:tc>
          <w:tcPr>
            <w:tcW w:w="2126" w:type="dxa"/>
          </w:tcPr>
          <w:p w14:paraId="7FD396B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734917E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31</w:t>
            </w:r>
          </w:p>
        </w:tc>
      </w:tr>
      <w:tr w:rsidR="00A627FF" w:rsidRPr="0005101C" w14:paraId="57F58C23" w14:textId="77777777" w:rsidTr="00A627FF">
        <w:trPr>
          <w:trHeight w:val="563"/>
        </w:trPr>
        <w:tc>
          <w:tcPr>
            <w:tcW w:w="5955" w:type="dxa"/>
          </w:tcPr>
          <w:p w14:paraId="34FE34A8"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81 and 82 – determination of removal or contingent removal</w:t>
            </w:r>
          </w:p>
        </w:tc>
        <w:tc>
          <w:tcPr>
            <w:tcW w:w="2126" w:type="dxa"/>
          </w:tcPr>
          <w:p w14:paraId="1736F24A"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31F9D1E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32</w:t>
            </w:r>
          </w:p>
        </w:tc>
      </w:tr>
      <w:tr w:rsidR="00A627FF" w:rsidRPr="0005101C" w14:paraId="61E68E51" w14:textId="77777777" w:rsidTr="00A627FF">
        <w:trPr>
          <w:trHeight w:val="375"/>
        </w:trPr>
        <w:tc>
          <w:tcPr>
            <w:tcW w:w="5955" w:type="dxa"/>
          </w:tcPr>
          <w:p w14:paraId="020E0E09"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83 – suspensions in fitness cases</w:t>
            </w:r>
          </w:p>
        </w:tc>
        <w:tc>
          <w:tcPr>
            <w:tcW w:w="2126" w:type="dxa"/>
          </w:tcPr>
          <w:p w14:paraId="703D114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71CD093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32</w:t>
            </w:r>
          </w:p>
        </w:tc>
      </w:tr>
      <w:tr w:rsidR="00A627FF" w:rsidRPr="0005101C" w14:paraId="7F8D4F64" w14:textId="77777777" w:rsidTr="00A627FF">
        <w:trPr>
          <w:trHeight w:val="563"/>
        </w:trPr>
        <w:tc>
          <w:tcPr>
            <w:tcW w:w="5955" w:type="dxa"/>
          </w:tcPr>
          <w:p w14:paraId="64EE9A75"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84 – reviewing suspensions and contingent removal conditions</w:t>
            </w:r>
          </w:p>
        </w:tc>
        <w:tc>
          <w:tcPr>
            <w:tcW w:w="2126" w:type="dxa"/>
          </w:tcPr>
          <w:p w14:paraId="30A85CF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460316C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32</w:t>
            </w:r>
          </w:p>
        </w:tc>
      </w:tr>
      <w:tr w:rsidR="00A627FF" w:rsidRPr="0005101C" w14:paraId="5B1E605D" w14:textId="77777777" w:rsidTr="00A627FF">
        <w:trPr>
          <w:trHeight w:val="563"/>
        </w:trPr>
        <w:tc>
          <w:tcPr>
            <w:tcW w:w="5955" w:type="dxa"/>
          </w:tcPr>
          <w:p w14:paraId="6B2BA8A2"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85 – general power to revoke suspensions in appropriate circumstances</w:t>
            </w:r>
          </w:p>
        </w:tc>
        <w:tc>
          <w:tcPr>
            <w:tcW w:w="2126" w:type="dxa"/>
          </w:tcPr>
          <w:p w14:paraId="04F1520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 or PLDP</w:t>
            </w:r>
          </w:p>
        </w:tc>
        <w:tc>
          <w:tcPr>
            <w:tcW w:w="1843" w:type="dxa"/>
          </w:tcPr>
          <w:p w14:paraId="38E598A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32</w:t>
            </w:r>
          </w:p>
        </w:tc>
      </w:tr>
      <w:tr w:rsidR="00A627FF" w:rsidRPr="0005101C" w14:paraId="758969B2" w14:textId="77777777" w:rsidTr="00A627FF">
        <w:trPr>
          <w:trHeight w:val="315"/>
        </w:trPr>
        <w:tc>
          <w:tcPr>
            <w:tcW w:w="5955" w:type="dxa"/>
          </w:tcPr>
          <w:p w14:paraId="3763A8E0"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94 – overpayments</w:t>
            </w:r>
          </w:p>
        </w:tc>
        <w:tc>
          <w:tcPr>
            <w:tcW w:w="2126" w:type="dxa"/>
          </w:tcPr>
          <w:p w14:paraId="0552721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46EFB89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39</w:t>
            </w:r>
          </w:p>
        </w:tc>
      </w:tr>
      <w:tr w:rsidR="00A627FF" w:rsidRPr="0005101C" w14:paraId="161F2031" w14:textId="77777777" w:rsidTr="00A627FF">
        <w:trPr>
          <w:trHeight w:val="419"/>
        </w:trPr>
        <w:tc>
          <w:tcPr>
            <w:tcW w:w="5955" w:type="dxa"/>
          </w:tcPr>
          <w:p w14:paraId="33A8C0A2"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99 – designation of an LPS area</w:t>
            </w:r>
          </w:p>
        </w:tc>
        <w:tc>
          <w:tcPr>
            <w:tcW w:w="2126" w:type="dxa"/>
          </w:tcPr>
          <w:p w14:paraId="6BF2E12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5FB3F73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40</w:t>
            </w:r>
          </w:p>
        </w:tc>
      </w:tr>
      <w:tr w:rsidR="00A627FF" w:rsidRPr="0005101C" w14:paraId="378C4A75" w14:textId="77777777" w:rsidTr="00A627FF">
        <w:trPr>
          <w:trHeight w:val="410"/>
        </w:trPr>
        <w:tc>
          <w:tcPr>
            <w:tcW w:w="5955" w:type="dxa"/>
          </w:tcPr>
          <w:p w14:paraId="4322C846"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100 – review of designation of an LPS area</w:t>
            </w:r>
          </w:p>
        </w:tc>
        <w:tc>
          <w:tcPr>
            <w:tcW w:w="2126" w:type="dxa"/>
          </w:tcPr>
          <w:p w14:paraId="286A026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5EB864F"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40</w:t>
            </w:r>
          </w:p>
        </w:tc>
      </w:tr>
      <w:tr w:rsidR="00A627FF" w:rsidRPr="0005101C" w14:paraId="09D58C7A" w14:textId="77777777" w:rsidTr="00A627FF">
        <w:trPr>
          <w:trHeight w:val="390"/>
        </w:trPr>
        <w:tc>
          <w:tcPr>
            <w:tcW w:w="5955" w:type="dxa"/>
          </w:tcPr>
          <w:p w14:paraId="1C114877"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101 – cancellation of an LPS area</w:t>
            </w:r>
          </w:p>
        </w:tc>
        <w:tc>
          <w:tcPr>
            <w:tcW w:w="2126" w:type="dxa"/>
          </w:tcPr>
          <w:p w14:paraId="5E15CE8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5A0EDF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40</w:t>
            </w:r>
          </w:p>
        </w:tc>
      </w:tr>
      <w:tr w:rsidR="00A627FF" w:rsidRPr="0005101C" w14:paraId="5FD01765" w14:textId="77777777" w:rsidTr="00A627FF">
        <w:trPr>
          <w:trHeight w:val="563"/>
        </w:trPr>
        <w:tc>
          <w:tcPr>
            <w:tcW w:w="5955" w:type="dxa"/>
          </w:tcPr>
          <w:p w14:paraId="607AC7D6"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104 – selection of an LPS proposal for development and decision to adopt proposal</w:t>
            </w:r>
          </w:p>
        </w:tc>
        <w:tc>
          <w:tcPr>
            <w:tcW w:w="2126" w:type="dxa"/>
          </w:tcPr>
          <w:p w14:paraId="61513A5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4377D5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40</w:t>
            </w:r>
          </w:p>
        </w:tc>
      </w:tr>
      <w:tr w:rsidR="00A627FF" w:rsidRPr="0005101C" w14:paraId="4A90F485" w14:textId="77777777" w:rsidTr="00A627FF">
        <w:trPr>
          <w:trHeight w:val="351"/>
        </w:trPr>
        <w:tc>
          <w:tcPr>
            <w:tcW w:w="5955" w:type="dxa"/>
          </w:tcPr>
          <w:p w14:paraId="4D1E5EA6"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Regulation 108 – right of return for LPS contractor</w:t>
            </w:r>
          </w:p>
        </w:tc>
        <w:tc>
          <w:tcPr>
            <w:tcW w:w="2126" w:type="dxa"/>
          </w:tcPr>
          <w:p w14:paraId="2121E1C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2BDFFA4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40</w:t>
            </w:r>
          </w:p>
        </w:tc>
      </w:tr>
      <w:tr w:rsidR="00A627FF" w:rsidRPr="0005101C" w14:paraId="71417F41" w14:textId="77777777" w:rsidTr="00A627FF">
        <w:trPr>
          <w:trHeight w:val="359"/>
        </w:trPr>
        <w:tc>
          <w:tcPr>
            <w:tcW w:w="5955" w:type="dxa"/>
          </w:tcPr>
          <w:p w14:paraId="360168C9"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1(10) – whether a best estimate is acceptable</w:t>
            </w:r>
          </w:p>
        </w:tc>
        <w:tc>
          <w:tcPr>
            <w:tcW w:w="2126" w:type="dxa"/>
          </w:tcPr>
          <w:p w14:paraId="6F1DB20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6143633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5F3CB2CC" w14:textId="77777777" w:rsidTr="00A627FF">
        <w:trPr>
          <w:trHeight w:val="563"/>
        </w:trPr>
        <w:tc>
          <w:tcPr>
            <w:tcW w:w="5955" w:type="dxa"/>
          </w:tcPr>
          <w:p w14:paraId="78BBD7BF"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11(1) – determination of whether there is missing information</w:t>
            </w:r>
          </w:p>
        </w:tc>
        <w:tc>
          <w:tcPr>
            <w:tcW w:w="2126" w:type="dxa"/>
          </w:tcPr>
          <w:p w14:paraId="5950B36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w:t>
            </w:r>
          </w:p>
        </w:tc>
        <w:tc>
          <w:tcPr>
            <w:tcW w:w="1843" w:type="dxa"/>
          </w:tcPr>
          <w:p w14:paraId="07FF110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61612512" w14:textId="77777777" w:rsidTr="00A627FF">
        <w:trPr>
          <w:trHeight w:val="563"/>
        </w:trPr>
        <w:tc>
          <w:tcPr>
            <w:tcW w:w="5955" w:type="dxa"/>
          </w:tcPr>
          <w:p w14:paraId="36A42EFA"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11(2)(b) – determination of review of reasonableness of request for missing information</w:t>
            </w:r>
          </w:p>
        </w:tc>
        <w:tc>
          <w:tcPr>
            <w:tcW w:w="2126" w:type="dxa"/>
          </w:tcPr>
          <w:p w14:paraId="53AAF1C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6009572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4B1F93A8" w14:textId="77777777" w:rsidTr="00A627FF">
        <w:trPr>
          <w:trHeight w:val="563"/>
        </w:trPr>
        <w:tc>
          <w:tcPr>
            <w:tcW w:w="5955" w:type="dxa"/>
          </w:tcPr>
          <w:p w14:paraId="66D7FC54"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14 – whether to defer consideration of application</w:t>
            </w:r>
          </w:p>
        </w:tc>
        <w:tc>
          <w:tcPr>
            <w:tcW w:w="2126" w:type="dxa"/>
          </w:tcPr>
          <w:p w14:paraId="06F805B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74005090"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161610D9" w14:textId="77777777" w:rsidTr="00A627FF">
        <w:trPr>
          <w:trHeight w:val="563"/>
        </w:trPr>
        <w:tc>
          <w:tcPr>
            <w:tcW w:w="5955" w:type="dxa"/>
          </w:tcPr>
          <w:p w14:paraId="15706AE0"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19 – determination of who is to be provided with notice of a notifiable application</w:t>
            </w:r>
          </w:p>
        </w:tc>
        <w:tc>
          <w:tcPr>
            <w:tcW w:w="2126" w:type="dxa"/>
          </w:tcPr>
          <w:p w14:paraId="14C0DAD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w:t>
            </w:r>
          </w:p>
        </w:tc>
        <w:tc>
          <w:tcPr>
            <w:tcW w:w="1843" w:type="dxa"/>
          </w:tcPr>
          <w:p w14:paraId="4598E85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2B771DC2" w14:textId="77777777" w:rsidTr="00A627FF">
        <w:trPr>
          <w:trHeight w:val="563"/>
        </w:trPr>
        <w:tc>
          <w:tcPr>
            <w:tcW w:w="5955" w:type="dxa"/>
          </w:tcPr>
          <w:p w14:paraId="679113FF"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2, paragraph 21(4) – determination of whether</w:t>
            </w:r>
          </w:p>
          <w:p w14:paraId="43B8FC32"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the full disclosure principle applies to information contained within a notifiable application</w:t>
            </w:r>
          </w:p>
        </w:tc>
        <w:tc>
          <w:tcPr>
            <w:tcW w:w="2126" w:type="dxa"/>
          </w:tcPr>
          <w:p w14:paraId="2AAFECD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3A1DFCC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3C56AE92" w14:textId="77777777" w:rsidTr="00A627FF">
        <w:trPr>
          <w:trHeight w:val="563"/>
        </w:trPr>
        <w:tc>
          <w:tcPr>
            <w:tcW w:w="5955" w:type="dxa"/>
          </w:tcPr>
          <w:p w14:paraId="13BD6F8D"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2, paragraph 22(2) – whether oral representations are to be provided and who may be additional presenters as defined in Schedule 2, paragraph 25(2)</w:t>
            </w:r>
          </w:p>
        </w:tc>
        <w:tc>
          <w:tcPr>
            <w:tcW w:w="2126" w:type="dxa"/>
          </w:tcPr>
          <w:p w14:paraId="656D200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26739CE4"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7D77C8F8" w14:textId="77777777" w:rsidTr="00A627FF">
        <w:trPr>
          <w:trHeight w:val="563"/>
        </w:trPr>
        <w:tc>
          <w:tcPr>
            <w:tcW w:w="5955" w:type="dxa"/>
          </w:tcPr>
          <w:p w14:paraId="6473E56A"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2, paragraph 25 – decision to hold an oral hearing to determine an application</w:t>
            </w:r>
          </w:p>
        </w:tc>
        <w:tc>
          <w:tcPr>
            <w:tcW w:w="2126" w:type="dxa"/>
          </w:tcPr>
          <w:p w14:paraId="4D34ED3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27C8144"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28A44BD3" w14:textId="77777777" w:rsidTr="00A627FF">
        <w:trPr>
          <w:trHeight w:val="563"/>
        </w:trPr>
        <w:tc>
          <w:tcPr>
            <w:tcW w:w="5955" w:type="dxa"/>
          </w:tcPr>
          <w:p w14:paraId="7765C5EF"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2, paragraph 28 – determination of who is to be notified of decisions on routine and excepted applications</w:t>
            </w:r>
          </w:p>
        </w:tc>
        <w:tc>
          <w:tcPr>
            <w:tcW w:w="2126" w:type="dxa"/>
          </w:tcPr>
          <w:p w14:paraId="16674BB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13CFDED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5F72DFCE" w14:textId="77777777" w:rsidTr="00A627FF">
        <w:trPr>
          <w:trHeight w:val="563"/>
        </w:trPr>
        <w:tc>
          <w:tcPr>
            <w:tcW w:w="5955" w:type="dxa"/>
          </w:tcPr>
          <w:p w14:paraId="41FDAB34"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3, paragraph 30 – determination of who is to have a third party right of appeal against decisions on routine and excepted applications</w:t>
            </w:r>
          </w:p>
        </w:tc>
        <w:tc>
          <w:tcPr>
            <w:tcW w:w="2126" w:type="dxa"/>
          </w:tcPr>
          <w:p w14:paraId="3B9DC3A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2E67CEB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6655555A" w14:textId="77777777" w:rsidTr="00A627FF">
        <w:trPr>
          <w:trHeight w:val="563"/>
        </w:trPr>
        <w:tc>
          <w:tcPr>
            <w:tcW w:w="5955" w:type="dxa"/>
          </w:tcPr>
          <w:p w14:paraId="5500D60C"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lastRenderedPageBreak/>
              <w:t>Schedule 2, paragraph 31 – consideration of a notification of address following a 'best estimate' routine application. Where this may lead to a refusal under regulation 31, the matter should be escalated to the committee</w:t>
            </w:r>
          </w:p>
        </w:tc>
        <w:tc>
          <w:tcPr>
            <w:tcW w:w="2126" w:type="dxa"/>
          </w:tcPr>
          <w:p w14:paraId="1C208000"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25DB3A3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29</w:t>
            </w:r>
          </w:p>
        </w:tc>
      </w:tr>
      <w:tr w:rsidR="00A627FF" w:rsidRPr="0005101C" w14:paraId="4DFD7A45" w14:textId="77777777" w:rsidTr="00A627FF">
        <w:trPr>
          <w:trHeight w:val="563"/>
        </w:trPr>
        <w:tc>
          <w:tcPr>
            <w:tcW w:w="5955" w:type="dxa"/>
          </w:tcPr>
          <w:p w14:paraId="72B843D2"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2, paragraph 32 – determination of whether to accept a change to premises</w:t>
            </w:r>
          </w:p>
        </w:tc>
        <w:tc>
          <w:tcPr>
            <w:tcW w:w="2126" w:type="dxa"/>
          </w:tcPr>
          <w:p w14:paraId="220EBF3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2ACB22A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78874FD8" w14:textId="77777777" w:rsidTr="00A627FF">
        <w:trPr>
          <w:trHeight w:val="563"/>
        </w:trPr>
        <w:tc>
          <w:tcPr>
            <w:tcW w:w="5955" w:type="dxa"/>
          </w:tcPr>
          <w:p w14:paraId="104890D8"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2, paragraph 33 – determination as to whether the future circumstances have arisen</w:t>
            </w:r>
          </w:p>
        </w:tc>
        <w:tc>
          <w:tcPr>
            <w:tcW w:w="2126" w:type="dxa"/>
          </w:tcPr>
          <w:p w14:paraId="4AE977E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w:t>
            </w:r>
          </w:p>
        </w:tc>
        <w:tc>
          <w:tcPr>
            <w:tcW w:w="1843" w:type="dxa"/>
          </w:tcPr>
          <w:p w14:paraId="79A98CB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2714378F" w14:textId="77777777" w:rsidTr="00A627FF">
        <w:trPr>
          <w:trHeight w:val="563"/>
        </w:trPr>
        <w:tc>
          <w:tcPr>
            <w:tcW w:w="5955" w:type="dxa"/>
          </w:tcPr>
          <w:p w14:paraId="7A0F00E2"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34 – decisions as to whether notices of commencement are valid, and whether a</w:t>
            </w:r>
          </w:p>
          <w:p w14:paraId="2CA1E234"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shorter notice period can be given</w:t>
            </w:r>
          </w:p>
        </w:tc>
        <w:tc>
          <w:tcPr>
            <w:tcW w:w="2126" w:type="dxa"/>
          </w:tcPr>
          <w:p w14:paraId="596FA15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w:t>
            </w:r>
          </w:p>
        </w:tc>
        <w:tc>
          <w:tcPr>
            <w:tcW w:w="1843" w:type="dxa"/>
          </w:tcPr>
          <w:p w14:paraId="2A8E104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56155BF6" w14:textId="77777777" w:rsidTr="00A627FF">
        <w:trPr>
          <w:trHeight w:val="563"/>
        </w:trPr>
        <w:tc>
          <w:tcPr>
            <w:tcW w:w="5955" w:type="dxa"/>
          </w:tcPr>
          <w:p w14:paraId="4DA43DC4"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34A – decisions as to whether notices of consolidation are valid, and whether a shorter notice period can be given</w:t>
            </w:r>
          </w:p>
        </w:tc>
        <w:tc>
          <w:tcPr>
            <w:tcW w:w="2126" w:type="dxa"/>
          </w:tcPr>
          <w:p w14:paraId="30E279B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w:t>
            </w:r>
          </w:p>
        </w:tc>
        <w:tc>
          <w:tcPr>
            <w:tcW w:w="1843" w:type="dxa"/>
          </w:tcPr>
          <w:p w14:paraId="7B6468C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06380C56" w14:textId="77777777" w:rsidTr="00A627FF">
        <w:trPr>
          <w:trHeight w:val="563"/>
        </w:trPr>
        <w:tc>
          <w:tcPr>
            <w:tcW w:w="5955" w:type="dxa"/>
          </w:tcPr>
          <w:p w14:paraId="0C75BDF8"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34(4)(c)(</w:t>
            </w:r>
            <w:proofErr w:type="spellStart"/>
            <w:r w:rsidRPr="0005101C">
              <w:rPr>
                <w:rFonts w:ascii="Arial" w:hAnsi="Arial" w:cs="Arial"/>
                <w:sz w:val="20"/>
                <w:szCs w:val="20"/>
              </w:rPr>
              <w:t>i</w:t>
            </w:r>
            <w:proofErr w:type="spellEnd"/>
            <w:r w:rsidRPr="0005101C">
              <w:rPr>
                <w:rFonts w:ascii="Arial" w:hAnsi="Arial" w:cs="Arial"/>
                <w:sz w:val="20"/>
                <w:szCs w:val="20"/>
              </w:rPr>
              <w:t>) and 34A(4)(b)(</w:t>
            </w:r>
            <w:proofErr w:type="spellStart"/>
            <w:r w:rsidRPr="0005101C">
              <w:rPr>
                <w:rFonts w:ascii="Arial" w:hAnsi="Arial" w:cs="Arial"/>
                <w:sz w:val="20"/>
                <w:szCs w:val="20"/>
              </w:rPr>
              <w:t>i</w:t>
            </w:r>
            <w:proofErr w:type="spellEnd"/>
            <w:r w:rsidRPr="0005101C">
              <w:rPr>
                <w:rFonts w:ascii="Arial" w:hAnsi="Arial" w:cs="Arial"/>
                <w:sz w:val="20"/>
                <w:szCs w:val="20"/>
              </w:rPr>
              <w:t>) – extension of latest date for receipt of notice of commencement or consolidation</w:t>
            </w:r>
          </w:p>
        </w:tc>
        <w:tc>
          <w:tcPr>
            <w:tcW w:w="2126" w:type="dxa"/>
          </w:tcPr>
          <w:p w14:paraId="1C057F2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5F7D0320" w14:textId="77777777" w:rsidR="00A627FF" w:rsidRDefault="00A627FF" w:rsidP="0022260C">
            <w:pPr>
              <w:spacing w:line="259" w:lineRule="auto"/>
              <w:rPr>
                <w:rFonts w:ascii="Arial" w:hAnsi="Arial" w:cs="Arial"/>
                <w:sz w:val="20"/>
                <w:szCs w:val="20"/>
              </w:rPr>
            </w:pPr>
            <w:r w:rsidRPr="0005101C">
              <w:rPr>
                <w:rFonts w:ascii="Arial" w:hAnsi="Arial" w:cs="Arial"/>
                <w:sz w:val="20"/>
                <w:szCs w:val="20"/>
              </w:rPr>
              <w:t>Chapters</w:t>
            </w:r>
          </w:p>
          <w:p w14:paraId="19EBCD84" w14:textId="7C799604"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12–21, 24– 27</w:t>
            </w:r>
          </w:p>
        </w:tc>
      </w:tr>
      <w:tr w:rsidR="00A627FF" w:rsidRPr="0005101C" w14:paraId="0E877D4A" w14:textId="77777777" w:rsidTr="00A627FF">
        <w:trPr>
          <w:trHeight w:val="563"/>
        </w:trPr>
        <w:tc>
          <w:tcPr>
            <w:tcW w:w="5955" w:type="dxa"/>
          </w:tcPr>
          <w:p w14:paraId="2F3DE861"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2, paragraph 35 – notice requiring the commencement of pharmaceutical services</w:t>
            </w:r>
          </w:p>
        </w:tc>
        <w:tc>
          <w:tcPr>
            <w:tcW w:w="2126" w:type="dxa"/>
          </w:tcPr>
          <w:p w14:paraId="7508A05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66FCE26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3C1C5E5A" w14:textId="77777777" w:rsidTr="00A627FF">
        <w:trPr>
          <w:trHeight w:val="563"/>
        </w:trPr>
        <w:tc>
          <w:tcPr>
            <w:tcW w:w="5955" w:type="dxa"/>
          </w:tcPr>
          <w:p w14:paraId="7EDE45DD"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4, paragraph 23(1)/Schedule 5, paragraph 13(1) – consideration of a request to temporarily suspend the provision of services (fixed period)</w:t>
            </w:r>
          </w:p>
        </w:tc>
        <w:tc>
          <w:tcPr>
            <w:tcW w:w="2126" w:type="dxa"/>
          </w:tcPr>
          <w:p w14:paraId="302B222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1C9F72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30FADF4D" w14:textId="77777777" w:rsidTr="00A627FF">
        <w:trPr>
          <w:trHeight w:val="563"/>
        </w:trPr>
        <w:tc>
          <w:tcPr>
            <w:tcW w:w="5955" w:type="dxa"/>
          </w:tcPr>
          <w:p w14:paraId="275C76D8"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4, paragraphs 23–25/Schedule 5, paragraphs 13–15 – decision to direct a contractor to open at certain times on certain days</w:t>
            </w:r>
          </w:p>
        </w:tc>
        <w:tc>
          <w:tcPr>
            <w:tcW w:w="2126" w:type="dxa"/>
          </w:tcPr>
          <w:p w14:paraId="21480646"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6325820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37</w:t>
            </w:r>
          </w:p>
        </w:tc>
      </w:tr>
      <w:tr w:rsidR="00A627FF" w:rsidRPr="0005101C" w14:paraId="25AFC4E9" w14:textId="77777777" w:rsidTr="00A627FF">
        <w:trPr>
          <w:trHeight w:val="563"/>
        </w:trPr>
        <w:tc>
          <w:tcPr>
            <w:tcW w:w="5955" w:type="dxa"/>
          </w:tcPr>
          <w:p w14:paraId="235557C1"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4, paragraph 23(10)/Schedule 5, paragraph 9 – review of reason for temporary suspension within the control of the contractor</w:t>
            </w:r>
          </w:p>
        </w:tc>
        <w:tc>
          <w:tcPr>
            <w:tcW w:w="2126" w:type="dxa"/>
          </w:tcPr>
          <w:p w14:paraId="1C14453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50B0B22A"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635D06EC" w14:textId="77777777" w:rsidTr="00A627FF">
        <w:trPr>
          <w:trHeight w:val="563"/>
        </w:trPr>
        <w:tc>
          <w:tcPr>
            <w:tcW w:w="5955" w:type="dxa"/>
          </w:tcPr>
          <w:p w14:paraId="6321D557"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4, paragraph 26/Schedule 5, paragraph 16 – determination of core opening hours instigated by the contractor</w:t>
            </w:r>
          </w:p>
        </w:tc>
        <w:tc>
          <w:tcPr>
            <w:tcW w:w="2126" w:type="dxa"/>
          </w:tcPr>
          <w:p w14:paraId="24025B60"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09783384"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37</w:t>
            </w:r>
          </w:p>
        </w:tc>
      </w:tr>
      <w:tr w:rsidR="00A627FF" w:rsidRPr="0005101C" w14:paraId="0DB01DA6" w14:textId="77777777" w:rsidTr="00A627FF">
        <w:trPr>
          <w:trHeight w:val="563"/>
        </w:trPr>
        <w:tc>
          <w:tcPr>
            <w:tcW w:w="5955" w:type="dxa"/>
          </w:tcPr>
          <w:p w14:paraId="02DF7FE1"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4, paragraph 27/Schedule 5, paragraph 17 – temporary opening hours and closures during an emergency requiring the flexible provision or pharmaceutical services</w:t>
            </w:r>
          </w:p>
        </w:tc>
        <w:tc>
          <w:tcPr>
            <w:tcW w:w="2126" w:type="dxa"/>
          </w:tcPr>
          <w:p w14:paraId="53397CA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5F7103EA"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387C3DD5" w14:textId="77777777" w:rsidTr="00A627FF">
        <w:trPr>
          <w:trHeight w:val="563"/>
        </w:trPr>
        <w:tc>
          <w:tcPr>
            <w:tcW w:w="5955" w:type="dxa"/>
          </w:tcPr>
          <w:p w14:paraId="386E2386"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Schedule 4, paragraph 27B – flexible provision of relevant immunisation services during a pandemic</w:t>
            </w:r>
          </w:p>
        </w:tc>
        <w:tc>
          <w:tcPr>
            <w:tcW w:w="2126" w:type="dxa"/>
          </w:tcPr>
          <w:p w14:paraId="7455AAB0"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w:t>
            </w:r>
          </w:p>
        </w:tc>
        <w:tc>
          <w:tcPr>
            <w:tcW w:w="1843" w:type="dxa"/>
          </w:tcPr>
          <w:p w14:paraId="1582081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662AAAEA" w14:textId="77777777" w:rsidTr="00A627FF">
        <w:trPr>
          <w:trHeight w:val="563"/>
        </w:trPr>
        <w:tc>
          <w:tcPr>
            <w:tcW w:w="5955" w:type="dxa"/>
          </w:tcPr>
          <w:p w14:paraId="115CDD10"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4, paragraph 28A – premises requirements in</w:t>
            </w:r>
          </w:p>
          <w:p w14:paraId="329969A2" w14:textId="77777777" w:rsidR="00A627FF" w:rsidRPr="0005101C" w:rsidRDefault="00A627FF" w:rsidP="00A627FF">
            <w:pPr>
              <w:ind w:right="326"/>
              <w:rPr>
                <w:rFonts w:ascii="Arial" w:hAnsi="Arial" w:cs="Arial"/>
                <w:sz w:val="20"/>
                <w:szCs w:val="20"/>
              </w:rPr>
            </w:pPr>
            <w:r w:rsidRPr="0005101C">
              <w:rPr>
                <w:rFonts w:ascii="Arial" w:hAnsi="Arial" w:cs="Arial"/>
                <w:sz w:val="20"/>
                <w:szCs w:val="20"/>
              </w:rPr>
              <w:t>respect of consultation rooms – decisions that a pharmacy premises is too small</w:t>
            </w:r>
          </w:p>
        </w:tc>
        <w:tc>
          <w:tcPr>
            <w:tcW w:w="2126" w:type="dxa"/>
          </w:tcPr>
          <w:p w14:paraId="427635E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4BFDE443"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10DA45F2" w14:textId="77777777" w:rsidTr="00A627FF">
        <w:trPr>
          <w:trHeight w:val="563"/>
        </w:trPr>
        <w:tc>
          <w:tcPr>
            <w:tcW w:w="5955" w:type="dxa"/>
          </w:tcPr>
          <w:p w14:paraId="0DEBC547"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Schedule 5, paragraph 13(6) – arranging for amendments to be made to the relevant pharmaceutical list following notification of a change of supplementary opening hours (where change is not intended to come into effect sooner than three months after receipt of notification of change)</w:t>
            </w:r>
          </w:p>
        </w:tc>
        <w:tc>
          <w:tcPr>
            <w:tcW w:w="2126" w:type="dxa"/>
          </w:tcPr>
          <w:p w14:paraId="28FBE85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630D509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37</w:t>
            </w:r>
          </w:p>
        </w:tc>
      </w:tr>
      <w:tr w:rsidR="00A627FF" w:rsidRPr="0005101C" w14:paraId="7C128723" w14:textId="77777777" w:rsidTr="00A627FF">
        <w:trPr>
          <w:trHeight w:val="563"/>
        </w:trPr>
        <w:tc>
          <w:tcPr>
            <w:tcW w:w="5955" w:type="dxa"/>
          </w:tcPr>
          <w:p w14:paraId="20B9FD27"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Decisions relating to compliance with the dispensing doctor terms of service</w:t>
            </w:r>
          </w:p>
        </w:tc>
        <w:tc>
          <w:tcPr>
            <w:tcW w:w="2126" w:type="dxa"/>
          </w:tcPr>
          <w:p w14:paraId="1A318967"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Committee</w:t>
            </w:r>
          </w:p>
        </w:tc>
        <w:tc>
          <w:tcPr>
            <w:tcW w:w="1843" w:type="dxa"/>
          </w:tcPr>
          <w:p w14:paraId="7970EBC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217C5163" w14:textId="77777777" w:rsidTr="00A627FF">
        <w:trPr>
          <w:trHeight w:val="563"/>
        </w:trPr>
        <w:tc>
          <w:tcPr>
            <w:tcW w:w="5955" w:type="dxa"/>
          </w:tcPr>
          <w:p w14:paraId="6DD73323"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Approval of responses to an appeal against, or challenge to, decisions of the committee</w:t>
            </w:r>
          </w:p>
        </w:tc>
        <w:tc>
          <w:tcPr>
            <w:tcW w:w="2126" w:type="dxa"/>
          </w:tcPr>
          <w:p w14:paraId="73D1B56E"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4F2A369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0C67447E" w14:textId="77777777" w:rsidTr="00A627FF">
        <w:trPr>
          <w:trHeight w:val="563"/>
        </w:trPr>
        <w:tc>
          <w:tcPr>
            <w:tcW w:w="5955" w:type="dxa"/>
          </w:tcPr>
          <w:p w14:paraId="394B0E58"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Approval of responses to an appeal against, or challenge to, decisions of the officer</w:t>
            </w:r>
          </w:p>
        </w:tc>
        <w:tc>
          <w:tcPr>
            <w:tcW w:w="2126" w:type="dxa"/>
          </w:tcPr>
          <w:p w14:paraId="0F721579"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26AE6BB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Not discussed</w:t>
            </w:r>
          </w:p>
        </w:tc>
      </w:tr>
      <w:tr w:rsidR="00A627FF" w:rsidRPr="0005101C" w14:paraId="092E9E05" w14:textId="77777777" w:rsidTr="00A627FF">
        <w:trPr>
          <w:trHeight w:val="563"/>
        </w:trPr>
        <w:tc>
          <w:tcPr>
            <w:tcW w:w="5955" w:type="dxa"/>
          </w:tcPr>
          <w:p w14:paraId="70BB56A9"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Determination of further action where community pharmacy assurance framework identifies concerns</w:t>
            </w:r>
          </w:p>
        </w:tc>
        <w:tc>
          <w:tcPr>
            <w:tcW w:w="2126" w:type="dxa"/>
          </w:tcPr>
          <w:p w14:paraId="5DF876C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1FF15AA1"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09441BE0" w14:textId="77777777" w:rsidTr="00A627FF">
        <w:trPr>
          <w:trHeight w:val="563"/>
        </w:trPr>
        <w:tc>
          <w:tcPr>
            <w:tcW w:w="5955" w:type="dxa"/>
          </w:tcPr>
          <w:p w14:paraId="5C70DCE3" w14:textId="77777777" w:rsidR="00A627FF" w:rsidRPr="0005101C" w:rsidRDefault="00A627FF" w:rsidP="00A627FF">
            <w:pPr>
              <w:spacing w:line="259" w:lineRule="auto"/>
              <w:ind w:right="326"/>
              <w:rPr>
                <w:rFonts w:ascii="Arial" w:hAnsi="Arial" w:cs="Arial"/>
                <w:sz w:val="20"/>
                <w:szCs w:val="20"/>
              </w:rPr>
            </w:pPr>
            <w:r w:rsidRPr="0005101C">
              <w:rPr>
                <w:rFonts w:ascii="Arial" w:hAnsi="Arial" w:cs="Arial"/>
                <w:sz w:val="20"/>
                <w:szCs w:val="20"/>
              </w:rPr>
              <w:t>Determination of further action where the contractor fails or refuses to agree a date and time for a visit</w:t>
            </w:r>
          </w:p>
        </w:tc>
        <w:tc>
          <w:tcPr>
            <w:tcW w:w="2126" w:type="dxa"/>
          </w:tcPr>
          <w:p w14:paraId="70D6DDB5"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7E04628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267BB8F9" w14:textId="77777777" w:rsidTr="00A627FF">
        <w:trPr>
          <w:trHeight w:val="563"/>
        </w:trPr>
        <w:tc>
          <w:tcPr>
            <w:tcW w:w="5955" w:type="dxa"/>
          </w:tcPr>
          <w:p w14:paraId="0B6474D9" w14:textId="77777777" w:rsidR="0025071D" w:rsidRDefault="00A627FF" w:rsidP="0025071D">
            <w:pPr>
              <w:ind w:right="326"/>
              <w:rPr>
                <w:rFonts w:ascii="Arial" w:hAnsi="Arial" w:cs="Arial"/>
                <w:sz w:val="20"/>
                <w:szCs w:val="20"/>
              </w:rPr>
            </w:pPr>
            <w:r w:rsidRPr="0005101C">
              <w:rPr>
                <w:rFonts w:ascii="Arial" w:hAnsi="Arial" w:cs="Arial"/>
                <w:sz w:val="20"/>
                <w:szCs w:val="20"/>
              </w:rPr>
              <w:lastRenderedPageBreak/>
              <w:t>Determination of action where any of the following are identified:</w:t>
            </w:r>
          </w:p>
          <w:p w14:paraId="4394DD64" w14:textId="77777777" w:rsidR="0025071D" w:rsidRPr="0025071D" w:rsidRDefault="00A627FF" w:rsidP="0025071D">
            <w:pPr>
              <w:pStyle w:val="ListParagraph"/>
              <w:numPr>
                <w:ilvl w:val="0"/>
                <w:numId w:val="6"/>
              </w:numPr>
              <w:ind w:right="326"/>
              <w:rPr>
                <w:rFonts w:ascii="Arial" w:hAnsi="Arial" w:cs="Arial"/>
                <w:sz w:val="20"/>
                <w:szCs w:val="20"/>
              </w:rPr>
            </w:pPr>
            <w:r w:rsidRPr="0025071D">
              <w:rPr>
                <w:rFonts w:ascii="Arial" w:hAnsi="Arial" w:cs="Arial"/>
                <w:sz w:val="20"/>
                <w:szCs w:val="20"/>
              </w:rPr>
              <w:t>patient safety issues</w:t>
            </w:r>
          </w:p>
          <w:p w14:paraId="079DB971" w14:textId="084469A0" w:rsidR="00A627FF" w:rsidRPr="0025071D" w:rsidRDefault="00A627FF" w:rsidP="0025071D">
            <w:pPr>
              <w:pStyle w:val="ListParagraph"/>
              <w:numPr>
                <w:ilvl w:val="0"/>
                <w:numId w:val="6"/>
              </w:numPr>
              <w:ind w:right="326"/>
              <w:rPr>
                <w:rFonts w:ascii="Arial" w:hAnsi="Arial" w:cs="Arial"/>
                <w:sz w:val="20"/>
                <w:szCs w:val="20"/>
              </w:rPr>
            </w:pPr>
            <w:r w:rsidRPr="0025071D">
              <w:rPr>
                <w:rFonts w:ascii="Arial" w:hAnsi="Arial" w:cs="Arial"/>
                <w:sz w:val="20"/>
                <w:szCs w:val="20"/>
              </w:rPr>
              <w:t>the commissioner is at risk of material financial loss,</w:t>
            </w:r>
            <w:r w:rsidR="0025071D" w:rsidRPr="0025071D">
              <w:rPr>
                <w:rFonts w:ascii="Arial" w:hAnsi="Arial" w:cs="Arial"/>
                <w:sz w:val="20"/>
                <w:szCs w:val="20"/>
              </w:rPr>
              <w:t xml:space="preserve"> a</w:t>
            </w:r>
            <w:r w:rsidRPr="0025071D">
              <w:rPr>
                <w:rFonts w:ascii="Arial" w:hAnsi="Arial" w:cs="Arial"/>
                <w:sz w:val="20"/>
                <w:szCs w:val="20"/>
              </w:rPr>
              <w:t>nd/or</w:t>
            </w:r>
            <w:r w:rsidR="0025071D" w:rsidRPr="0025071D">
              <w:rPr>
                <w:rFonts w:ascii="Arial" w:hAnsi="Arial" w:cs="Arial"/>
                <w:sz w:val="20"/>
                <w:szCs w:val="20"/>
              </w:rPr>
              <w:t xml:space="preserve"> </w:t>
            </w:r>
            <w:r w:rsidRPr="0025071D">
              <w:rPr>
                <w:rFonts w:ascii="Arial" w:hAnsi="Arial" w:cs="Arial"/>
                <w:sz w:val="20"/>
                <w:szCs w:val="20"/>
              </w:rPr>
              <w:t>possible fraudulent or criminal activity.</w:t>
            </w:r>
          </w:p>
        </w:tc>
        <w:tc>
          <w:tcPr>
            <w:tcW w:w="2126" w:type="dxa"/>
          </w:tcPr>
          <w:p w14:paraId="48DFE52A"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5067502D"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36B34069" w14:textId="77777777" w:rsidTr="00A627FF">
        <w:trPr>
          <w:trHeight w:val="563"/>
        </w:trPr>
        <w:tc>
          <w:tcPr>
            <w:tcW w:w="5955" w:type="dxa"/>
          </w:tcPr>
          <w:p w14:paraId="7373EE23" w14:textId="77777777" w:rsidR="00A627FF" w:rsidRPr="0005101C" w:rsidRDefault="00A627FF" w:rsidP="00A627FF">
            <w:pPr>
              <w:spacing w:after="138"/>
              <w:ind w:right="326"/>
              <w:rPr>
                <w:rFonts w:ascii="Arial" w:hAnsi="Arial" w:cs="Arial"/>
                <w:sz w:val="20"/>
                <w:szCs w:val="20"/>
              </w:rPr>
            </w:pPr>
            <w:r w:rsidRPr="0005101C">
              <w:rPr>
                <w:rFonts w:ascii="Arial" w:hAnsi="Arial" w:cs="Arial"/>
                <w:sz w:val="20"/>
                <w:szCs w:val="20"/>
              </w:rPr>
              <w:t>Determination of action where the contractor fails to complete the required actions or fails to respond to a visit report</w:t>
            </w:r>
          </w:p>
        </w:tc>
        <w:tc>
          <w:tcPr>
            <w:tcW w:w="2126" w:type="dxa"/>
          </w:tcPr>
          <w:p w14:paraId="4183B212"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 or committee</w:t>
            </w:r>
          </w:p>
        </w:tc>
        <w:tc>
          <w:tcPr>
            <w:tcW w:w="1843" w:type="dxa"/>
          </w:tcPr>
          <w:p w14:paraId="74533208"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r w:rsidR="00A627FF" w:rsidRPr="0005101C" w14:paraId="4DD39EC2" w14:textId="77777777" w:rsidTr="00A627FF">
        <w:trPr>
          <w:trHeight w:val="563"/>
        </w:trPr>
        <w:tc>
          <w:tcPr>
            <w:tcW w:w="5955" w:type="dxa"/>
          </w:tcPr>
          <w:p w14:paraId="15BADE61" w14:textId="77777777" w:rsidR="00A627FF" w:rsidRPr="0005101C" w:rsidRDefault="00A627FF" w:rsidP="00A627FF">
            <w:pPr>
              <w:spacing w:after="138"/>
              <w:ind w:right="326"/>
              <w:rPr>
                <w:rFonts w:ascii="Arial" w:hAnsi="Arial" w:cs="Arial"/>
                <w:sz w:val="20"/>
                <w:szCs w:val="20"/>
              </w:rPr>
            </w:pPr>
            <w:r w:rsidRPr="0005101C">
              <w:rPr>
                <w:rFonts w:ascii="Arial" w:hAnsi="Arial" w:cs="Arial"/>
                <w:sz w:val="20"/>
                <w:szCs w:val="20"/>
              </w:rPr>
              <w:t xml:space="preserve">Determination of action where the contractor exceeds the maximum number of </w:t>
            </w:r>
            <w:proofErr w:type="gramStart"/>
            <w:r w:rsidRPr="0005101C">
              <w:rPr>
                <w:rFonts w:ascii="Arial" w:hAnsi="Arial" w:cs="Arial"/>
                <w:sz w:val="20"/>
                <w:szCs w:val="20"/>
              </w:rPr>
              <w:t>appliance</w:t>
            </w:r>
            <w:proofErr w:type="gramEnd"/>
            <w:r w:rsidRPr="0005101C">
              <w:rPr>
                <w:rFonts w:ascii="Arial" w:hAnsi="Arial" w:cs="Arial"/>
                <w:sz w:val="20"/>
                <w:szCs w:val="20"/>
              </w:rPr>
              <w:t xml:space="preserve"> use reviews that may be done in any one year</w:t>
            </w:r>
          </w:p>
        </w:tc>
        <w:tc>
          <w:tcPr>
            <w:tcW w:w="2126" w:type="dxa"/>
          </w:tcPr>
          <w:p w14:paraId="3CF1E7BC"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Officer</w:t>
            </w:r>
          </w:p>
          <w:p w14:paraId="2753EF7D" w14:textId="77777777" w:rsidR="00A627FF" w:rsidRPr="0005101C" w:rsidRDefault="00A627FF" w:rsidP="0022260C">
            <w:pPr>
              <w:spacing w:line="259" w:lineRule="auto"/>
              <w:ind w:left="273" w:firstLine="141"/>
              <w:rPr>
                <w:rFonts w:ascii="Arial" w:hAnsi="Arial" w:cs="Arial"/>
                <w:sz w:val="20"/>
                <w:szCs w:val="20"/>
              </w:rPr>
            </w:pPr>
          </w:p>
        </w:tc>
        <w:tc>
          <w:tcPr>
            <w:tcW w:w="1843" w:type="dxa"/>
          </w:tcPr>
          <w:p w14:paraId="5A17603B" w14:textId="77777777" w:rsidR="00A627FF" w:rsidRPr="0005101C" w:rsidRDefault="00A627FF" w:rsidP="0022260C">
            <w:pPr>
              <w:spacing w:line="259" w:lineRule="auto"/>
              <w:rPr>
                <w:rFonts w:ascii="Arial" w:hAnsi="Arial" w:cs="Arial"/>
                <w:sz w:val="20"/>
                <w:szCs w:val="20"/>
              </w:rPr>
            </w:pPr>
            <w:r w:rsidRPr="0005101C">
              <w:rPr>
                <w:rFonts w:ascii="Arial" w:hAnsi="Arial" w:cs="Arial"/>
                <w:sz w:val="20"/>
                <w:szCs w:val="20"/>
              </w:rPr>
              <w:t>Chapter 38</w:t>
            </w:r>
          </w:p>
        </w:tc>
      </w:tr>
    </w:tbl>
    <w:p w14:paraId="14885AF3" w14:textId="77777777" w:rsidR="003E5617" w:rsidRPr="00212D92" w:rsidRDefault="003E5617" w:rsidP="00A91330">
      <w:pPr>
        <w:rPr>
          <w:rFonts w:ascii="Arial" w:eastAsiaTheme="minorHAnsi" w:hAnsi="Arial" w:cs="Arial"/>
          <w:bCs/>
        </w:rPr>
      </w:pPr>
    </w:p>
    <w:sectPr w:rsidR="003E5617" w:rsidRPr="00212D92" w:rsidSect="008975EA">
      <w:headerReference w:type="default" r:id="rId7"/>
      <w:headerReference w:type="firs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D668F" w14:textId="77777777" w:rsidR="00314DDE" w:rsidRDefault="00314DDE" w:rsidP="0057338C">
      <w:r>
        <w:separator/>
      </w:r>
    </w:p>
  </w:endnote>
  <w:endnote w:type="continuationSeparator" w:id="0">
    <w:p w14:paraId="4A799AB7" w14:textId="77777777" w:rsidR="00314DDE" w:rsidRDefault="00314DDE" w:rsidP="0057338C">
      <w:r>
        <w:continuationSeparator/>
      </w:r>
    </w:p>
  </w:endnote>
  <w:endnote w:type="continuationNotice" w:id="1">
    <w:p w14:paraId="513E1F46" w14:textId="77777777" w:rsidR="001A2321" w:rsidRDefault="001A2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3A1CA" w14:textId="77777777" w:rsidR="00314DDE" w:rsidRDefault="00314DDE" w:rsidP="0057338C">
      <w:r>
        <w:separator/>
      </w:r>
    </w:p>
  </w:footnote>
  <w:footnote w:type="continuationSeparator" w:id="0">
    <w:p w14:paraId="457D3910" w14:textId="77777777" w:rsidR="00314DDE" w:rsidRDefault="00314DDE" w:rsidP="0057338C">
      <w:r>
        <w:continuationSeparator/>
      </w:r>
    </w:p>
  </w:footnote>
  <w:footnote w:type="continuationNotice" w:id="1">
    <w:p w14:paraId="33A80B0B" w14:textId="77777777" w:rsidR="001A2321" w:rsidRDefault="001A2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A358" w14:textId="2DFABB56" w:rsidR="0057338C" w:rsidRPr="00A45DDF" w:rsidRDefault="0057338C" w:rsidP="009117C0">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48C6" w14:textId="29986A76" w:rsidR="002B4612" w:rsidRPr="00A45DDF" w:rsidRDefault="004A327C" w:rsidP="004A327C">
    <w:pPr>
      <w:spacing w:before="240" w:after="160" w:line="259" w:lineRule="auto"/>
      <w:ind w:left="559" w:right="-46" w:firstLine="161"/>
      <w:jc w:val="right"/>
      <w:rPr>
        <w:rFonts w:ascii="Arial" w:hAnsi="Arial" w:cs="Arial"/>
        <w:color w:val="000000"/>
        <w:sz w:val="14"/>
        <w:szCs w:val="14"/>
      </w:rPr>
    </w:pPr>
    <w:r>
      <w:rPr>
        <w:rFonts w:ascii="Arial" w:hAnsi="Arial" w:cs="Arial"/>
        <w:noProof/>
      </w:rPr>
      <w:drawing>
        <wp:anchor distT="0" distB="0" distL="114300" distR="114300" simplePos="0" relativeHeight="251658240" behindDoc="0" locked="0" layoutInCell="1" allowOverlap="1" wp14:anchorId="6D6FE3EA" wp14:editId="3F338291">
          <wp:simplePos x="0" y="0"/>
          <wp:positionH relativeFrom="column">
            <wp:posOffset>-481965</wp:posOffset>
          </wp:positionH>
          <wp:positionV relativeFrom="paragraph">
            <wp:posOffset>367030</wp:posOffset>
          </wp:positionV>
          <wp:extent cx="3224530" cy="613410"/>
          <wp:effectExtent l="0" t="0" r="0" b="0"/>
          <wp:wrapNone/>
          <wp:docPr id="479440431" name="Picture 1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40431" name="Picture 12" descr="A close 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4530" cy="613410"/>
                  </a:xfrm>
                  <a:prstGeom prst="rect">
                    <a:avLst/>
                  </a:prstGeom>
                  <a:noFill/>
                </pic:spPr>
              </pic:pic>
            </a:graphicData>
          </a:graphic>
          <wp14:sizeRelH relativeFrom="page">
            <wp14:pctWidth>0</wp14:pctWidth>
          </wp14:sizeRelH>
          <wp14:sizeRelV relativeFrom="page">
            <wp14:pctHeight>0</wp14:pctHeight>
          </wp14:sizeRelV>
        </wp:anchor>
      </w:drawing>
    </w:r>
    <w:r w:rsidR="00D0365B">
      <w:rPr>
        <w:rFonts w:ascii="Arial" w:eastAsiaTheme="minorHAnsi" w:hAnsi="Arial" w:cs="Arial"/>
        <w:b/>
        <w:bCs/>
        <w:sz w:val="20"/>
        <w:szCs w:val="20"/>
      </w:rPr>
      <w:t xml:space="preserve">       </w:t>
    </w:r>
    <w:r w:rsidR="00D0365B">
      <w:rPr>
        <w:rFonts w:ascii="Arial" w:eastAsiaTheme="minorHAnsi" w:hAnsi="Arial" w:cs="Arial"/>
        <w:b/>
        <w:bCs/>
        <w:sz w:val="20"/>
        <w:szCs w:val="20"/>
      </w:rPr>
      <w:tab/>
    </w:r>
    <w:r w:rsidR="00D0365B">
      <w:rPr>
        <w:rFonts w:ascii="Arial" w:eastAsiaTheme="minorHAnsi" w:hAnsi="Arial" w:cs="Arial"/>
        <w:b/>
        <w:bCs/>
        <w:sz w:val="20"/>
        <w:szCs w:val="20"/>
      </w:rPr>
      <w:tab/>
    </w:r>
    <w:r w:rsidR="00D0365B">
      <w:rPr>
        <w:rFonts w:ascii="Arial" w:eastAsiaTheme="minorHAnsi" w:hAnsi="Arial" w:cs="Arial"/>
        <w:b/>
        <w:bCs/>
        <w:sz w:val="20"/>
        <w:szCs w:val="20"/>
      </w:rPr>
      <w:tab/>
    </w:r>
    <w:r w:rsidR="00D0365B">
      <w:rPr>
        <w:rFonts w:ascii="Arial" w:eastAsiaTheme="minorHAnsi" w:hAnsi="Arial" w:cs="Arial"/>
        <w:b/>
        <w:bCs/>
        <w:sz w:val="20"/>
        <w:szCs w:val="20"/>
      </w:rPr>
      <w:tab/>
    </w:r>
    <w:r w:rsidR="008975EA">
      <w:rPr>
        <w:rFonts w:ascii="Arial" w:eastAsiaTheme="minorHAnsi" w:hAnsi="Arial" w:cs="Arial"/>
        <w:b/>
        <w:bCs/>
        <w:sz w:val="20"/>
        <w:szCs w:val="20"/>
      </w:rPr>
      <w:tab/>
    </w:r>
    <w:r w:rsidR="008975EA">
      <w:rPr>
        <w:rFonts w:ascii="Arial" w:eastAsiaTheme="minorHAnsi" w:hAnsi="Arial" w:cs="Arial"/>
        <w:b/>
        <w:bCs/>
        <w:sz w:val="20"/>
        <w:szCs w:val="20"/>
      </w:rPr>
      <w:tab/>
    </w:r>
    <w:r w:rsidR="008975EA">
      <w:rPr>
        <w:rFonts w:ascii="Arial" w:eastAsiaTheme="minorHAnsi" w:hAnsi="Arial" w:cs="Arial"/>
        <w:b/>
        <w:bCs/>
        <w:sz w:val="20"/>
        <w:szCs w:val="20"/>
      </w:rPr>
      <w:tab/>
    </w:r>
  </w:p>
  <w:p w14:paraId="0E648FBA" w14:textId="77777777" w:rsidR="002B4612" w:rsidRPr="00A45DDF" w:rsidRDefault="002B4612" w:rsidP="002B4612">
    <w:pPr>
      <w:autoSpaceDE w:val="0"/>
      <w:autoSpaceDN w:val="0"/>
      <w:adjustRightInd w:val="0"/>
      <w:jc w:val="right"/>
      <w:rPr>
        <w:rFonts w:ascii="Arial" w:hAnsi="Arial" w:cs="Arial"/>
        <w:color w:val="000000"/>
        <w:sz w:val="14"/>
        <w:szCs w:val="14"/>
      </w:rPr>
    </w:pPr>
    <w:r>
      <w:rPr>
        <w:rFonts w:ascii="Arial" w:hAnsi="Arial" w:cs="Arial"/>
        <w:noProof/>
      </w:rPr>
      <w:drawing>
        <wp:anchor distT="0" distB="0" distL="114300" distR="114300" simplePos="0" relativeHeight="251658241" behindDoc="0" locked="0" layoutInCell="1" allowOverlap="1" wp14:anchorId="7F67F50E" wp14:editId="52311365">
          <wp:simplePos x="0" y="0"/>
          <wp:positionH relativeFrom="column">
            <wp:posOffset>4131310</wp:posOffset>
          </wp:positionH>
          <wp:positionV relativeFrom="paragraph">
            <wp:posOffset>6350</wp:posOffset>
          </wp:positionV>
          <wp:extent cx="1593215" cy="848995"/>
          <wp:effectExtent l="0" t="0" r="0" b="0"/>
          <wp:wrapNone/>
          <wp:docPr id="210093398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848995"/>
                  </a:xfrm>
                  <a:prstGeom prst="rect">
                    <a:avLst/>
                  </a:prstGeom>
                  <a:noFill/>
                </pic:spPr>
              </pic:pic>
            </a:graphicData>
          </a:graphic>
          <wp14:sizeRelH relativeFrom="page">
            <wp14:pctWidth>0</wp14:pctWidth>
          </wp14:sizeRelH>
          <wp14:sizeRelV relativeFrom="page">
            <wp14:pctHeight>0</wp14:pctHeight>
          </wp14:sizeRelV>
        </wp:anchor>
      </w:drawing>
    </w:r>
  </w:p>
  <w:p w14:paraId="42EA8419" w14:textId="77777777" w:rsidR="002B4612" w:rsidRPr="00A45DDF" w:rsidRDefault="002B4612" w:rsidP="002B4612">
    <w:pPr>
      <w:autoSpaceDE w:val="0"/>
      <w:autoSpaceDN w:val="0"/>
      <w:adjustRightInd w:val="0"/>
      <w:jc w:val="right"/>
      <w:rPr>
        <w:rFonts w:ascii="Arial" w:hAnsi="Arial" w:cs="Arial"/>
        <w:color w:val="000000"/>
        <w:sz w:val="14"/>
        <w:szCs w:val="14"/>
      </w:rPr>
    </w:pPr>
  </w:p>
  <w:p w14:paraId="39DA8F65" w14:textId="77777777" w:rsidR="002B4612" w:rsidRPr="00A45DDF" w:rsidRDefault="002B4612" w:rsidP="002B4612">
    <w:pPr>
      <w:autoSpaceDE w:val="0"/>
      <w:autoSpaceDN w:val="0"/>
      <w:adjustRightInd w:val="0"/>
      <w:jc w:val="right"/>
      <w:rPr>
        <w:rFonts w:ascii="Arial" w:hAnsi="Arial" w:cs="Arial"/>
        <w:color w:val="000000"/>
        <w:sz w:val="14"/>
        <w:szCs w:val="14"/>
      </w:rPr>
    </w:pPr>
  </w:p>
  <w:p w14:paraId="10BBE724" w14:textId="77777777" w:rsidR="002B4612" w:rsidRPr="00A45DDF" w:rsidRDefault="002B4612" w:rsidP="002B4612">
    <w:pPr>
      <w:autoSpaceDE w:val="0"/>
      <w:autoSpaceDN w:val="0"/>
      <w:adjustRightInd w:val="0"/>
      <w:jc w:val="right"/>
      <w:rPr>
        <w:rFonts w:ascii="Arial" w:hAnsi="Arial" w:cs="Arial"/>
        <w:color w:val="000000"/>
        <w:sz w:val="14"/>
        <w:szCs w:val="14"/>
      </w:rPr>
    </w:pPr>
  </w:p>
  <w:p w14:paraId="139F1491" w14:textId="77777777" w:rsidR="002B4612" w:rsidRPr="00A45DDF" w:rsidRDefault="002B4612" w:rsidP="002B4612">
    <w:pPr>
      <w:autoSpaceDE w:val="0"/>
      <w:autoSpaceDN w:val="0"/>
      <w:adjustRightInd w:val="0"/>
      <w:jc w:val="right"/>
      <w:rPr>
        <w:rFonts w:ascii="Arial" w:hAnsi="Arial" w:cs="Arial"/>
        <w:color w:val="000000"/>
        <w:sz w:val="14"/>
        <w:szCs w:val="14"/>
      </w:rPr>
    </w:pPr>
  </w:p>
  <w:p w14:paraId="58E4B2E6" w14:textId="77777777" w:rsidR="002B4612" w:rsidRPr="00A45DDF" w:rsidRDefault="002B4612" w:rsidP="002B4612">
    <w:pPr>
      <w:autoSpaceDE w:val="0"/>
      <w:autoSpaceDN w:val="0"/>
      <w:adjustRightInd w:val="0"/>
      <w:jc w:val="right"/>
      <w:rPr>
        <w:rFonts w:ascii="Arial" w:hAnsi="Arial" w:cs="Arial"/>
        <w:color w:val="000000"/>
        <w:sz w:val="14"/>
        <w:szCs w:val="14"/>
      </w:rPr>
    </w:pPr>
  </w:p>
  <w:p w14:paraId="58B0128C" w14:textId="77777777" w:rsidR="002B4612" w:rsidRPr="00A45DDF" w:rsidRDefault="002B4612" w:rsidP="002B4612">
    <w:pPr>
      <w:autoSpaceDE w:val="0"/>
      <w:autoSpaceDN w:val="0"/>
      <w:adjustRightInd w:val="0"/>
      <w:jc w:val="right"/>
      <w:rPr>
        <w:rFonts w:ascii="Arial" w:hAnsi="Arial" w:cs="Arial"/>
        <w:color w:val="000000"/>
        <w:sz w:val="14"/>
        <w:szCs w:val="14"/>
      </w:rPr>
    </w:pPr>
  </w:p>
  <w:p w14:paraId="75C45B66" w14:textId="77777777" w:rsidR="002B4612" w:rsidRPr="00A45DDF" w:rsidRDefault="002B4612" w:rsidP="002B4612">
    <w:pPr>
      <w:autoSpaceDE w:val="0"/>
      <w:autoSpaceDN w:val="0"/>
      <w:adjustRightInd w:val="0"/>
      <w:jc w:val="right"/>
      <w:rPr>
        <w:rFonts w:ascii="Arial" w:hAnsi="Arial" w:cs="Arial"/>
        <w:color w:val="000000"/>
        <w:sz w:val="14"/>
        <w:szCs w:val="14"/>
      </w:rPr>
    </w:pPr>
  </w:p>
  <w:p w14:paraId="08F35065" w14:textId="77777777" w:rsidR="002B4612" w:rsidRPr="00A45DDF" w:rsidRDefault="002B4612" w:rsidP="002B4612">
    <w:pPr>
      <w:autoSpaceDE w:val="0"/>
      <w:autoSpaceDN w:val="0"/>
      <w:adjustRightInd w:val="0"/>
      <w:jc w:val="right"/>
      <w:rPr>
        <w:rFonts w:ascii="Arial" w:hAnsi="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1D5D"/>
    <w:multiLevelType w:val="hybridMultilevel"/>
    <w:tmpl w:val="7C16E9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45483F"/>
    <w:multiLevelType w:val="hybridMultilevel"/>
    <w:tmpl w:val="A176A9E6"/>
    <w:lvl w:ilvl="0" w:tplc="809A2BE8">
      <w:start w:val="1"/>
      <w:numFmt w:val="bullet"/>
      <w:lvlText w:val="•"/>
      <w:lvlJc w:val="left"/>
      <w:pPr>
        <w:ind w:left="702"/>
      </w:pPr>
      <w:rPr>
        <w:rFonts w:ascii="Arial" w:eastAsia="Arial" w:hAnsi="Arial" w:cs="Arial"/>
        <w:b w:val="0"/>
        <w:i w:val="0"/>
        <w:strike w:val="0"/>
        <w:dstrike w:val="0"/>
        <w:color w:val="1C6CB4"/>
        <w:sz w:val="24"/>
        <w:szCs w:val="24"/>
        <w:u w:val="none" w:color="000000"/>
        <w:bdr w:val="none" w:sz="0" w:space="0" w:color="auto"/>
        <w:shd w:val="clear" w:color="auto" w:fill="auto"/>
        <w:vertAlign w:val="baseline"/>
      </w:rPr>
    </w:lvl>
    <w:lvl w:ilvl="1" w:tplc="E482E3B8">
      <w:start w:val="1"/>
      <w:numFmt w:val="bullet"/>
      <w:lvlText w:val="o"/>
      <w:lvlJc w:val="left"/>
      <w:pPr>
        <w:ind w:left="1637"/>
      </w:pPr>
      <w:rPr>
        <w:rFonts w:ascii="Segoe UI Symbol" w:eastAsia="Segoe UI Symbol" w:hAnsi="Segoe UI Symbol" w:cs="Segoe UI Symbol"/>
        <w:b w:val="0"/>
        <w:i w:val="0"/>
        <w:strike w:val="0"/>
        <w:dstrike w:val="0"/>
        <w:color w:val="1C6CB4"/>
        <w:sz w:val="24"/>
        <w:szCs w:val="24"/>
        <w:u w:val="none" w:color="000000"/>
        <w:bdr w:val="none" w:sz="0" w:space="0" w:color="auto"/>
        <w:shd w:val="clear" w:color="auto" w:fill="auto"/>
        <w:vertAlign w:val="baseline"/>
      </w:rPr>
    </w:lvl>
    <w:lvl w:ilvl="2" w:tplc="B844A2F8">
      <w:start w:val="1"/>
      <w:numFmt w:val="bullet"/>
      <w:lvlText w:val="▪"/>
      <w:lvlJc w:val="left"/>
      <w:pPr>
        <w:ind w:left="2357"/>
      </w:pPr>
      <w:rPr>
        <w:rFonts w:ascii="Segoe UI Symbol" w:eastAsia="Segoe UI Symbol" w:hAnsi="Segoe UI Symbol" w:cs="Segoe UI Symbol"/>
        <w:b w:val="0"/>
        <w:i w:val="0"/>
        <w:strike w:val="0"/>
        <w:dstrike w:val="0"/>
        <w:color w:val="1C6CB4"/>
        <w:sz w:val="24"/>
        <w:szCs w:val="24"/>
        <w:u w:val="none" w:color="000000"/>
        <w:bdr w:val="none" w:sz="0" w:space="0" w:color="auto"/>
        <w:shd w:val="clear" w:color="auto" w:fill="auto"/>
        <w:vertAlign w:val="baseline"/>
      </w:rPr>
    </w:lvl>
    <w:lvl w:ilvl="3" w:tplc="9E628EAE">
      <w:start w:val="1"/>
      <w:numFmt w:val="bullet"/>
      <w:lvlText w:val="•"/>
      <w:lvlJc w:val="left"/>
      <w:pPr>
        <w:ind w:left="3077"/>
      </w:pPr>
      <w:rPr>
        <w:rFonts w:ascii="Arial" w:eastAsia="Arial" w:hAnsi="Arial" w:cs="Arial"/>
        <w:b w:val="0"/>
        <w:i w:val="0"/>
        <w:strike w:val="0"/>
        <w:dstrike w:val="0"/>
        <w:color w:val="1C6CB4"/>
        <w:sz w:val="24"/>
        <w:szCs w:val="24"/>
        <w:u w:val="none" w:color="000000"/>
        <w:bdr w:val="none" w:sz="0" w:space="0" w:color="auto"/>
        <w:shd w:val="clear" w:color="auto" w:fill="auto"/>
        <w:vertAlign w:val="baseline"/>
      </w:rPr>
    </w:lvl>
    <w:lvl w:ilvl="4" w:tplc="312E3962">
      <w:start w:val="1"/>
      <w:numFmt w:val="bullet"/>
      <w:lvlText w:val="o"/>
      <w:lvlJc w:val="left"/>
      <w:pPr>
        <w:ind w:left="3797"/>
      </w:pPr>
      <w:rPr>
        <w:rFonts w:ascii="Segoe UI Symbol" w:eastAsia="Segoe UI Symbol" w:hAnsi="Segoe UI Symbol" w:cs="Segoe UI Symbol"/>
        <w:b w:val="0"/>
        <w:i w:val="0"/>
        <w:strike w:val="0"/>
        <w:dstrike w:val="0"/>
        <w:color w:val="1C6CB4"/>
        <w:sz w:val="24"/>
        <w:szCs w:val="24"/>
        <w:u w:val="none" w:color="000000"/>
        <w:bdr w:val="none" w:sz="0" w:space="0" w:color="auto"/>
        <w:shd w:val="clear" w:color="auto" w:fill="auto"/>
        <w:vertAlign w:val="baseline"/>
      </w:rPr>
    </w:lvl>
    <w:lvl w:ilvl="5" w:tplc="E36A1E4E">
      <w:start w:val="1"/>
      <w:numFmt w:val="bullet"/>
      <w:lvlText w:val="▪"/>
      <w:lvlJc w:val="left"/>
      <w:pPr>
        <w:ind w:left="4517"/>
      </w:pPr>
      <w:rPr>
        <w:rFonts w:ascii="Segoe UI Symbol" w:eastAsia="Segoe UI Symbol" w:hAnsi="Segoe UI Symbol" w:cs="Segoe UI Symbol"/>
        <w:b w:val="0"/>
        <w:i w:val="0"/>
        <w:strike w:val="0"/>
        <w:dstrike w:val="0"/>
        <w:color w:val="1C6CB4"/>
        <w:sz w:val="24"/>
        <w:szCs w:val="24"/>
        <w:u w:val="none" w:color="000000"/>
        <w:bdr w:val="none" w:sz="0" w:space="0" w:color="auto"/>
        <w:shd w:val="clear" w:color="auto" w:fill="auto"/>
        <w:vertAlign w:val="baseline"/>
      </w:rPr>
    </w:lvl>
    <w:lvl w:ilvl="6" w:tplc="DAF6CA54">
      <w:start w:val="1"/>
      <w:numFmt w:val="bullet"/>
      <w:lvlText w:val="•"/>
      <w:lvlJc w:val="left"/>
      <w:pPr>
        <w:ind w:left="5237"/>
      </w:pPr>
      <w:rPr>
        <w:rFonts w:ascii="Arial" w:eastAsia="Arial" w:hAnsi="Arial" w:cs="Arial"/>
        <w:b w:val="0"/>
        <w:i w:val="0"/>
        <w:strike w:val="0"/>
        <w:dstrike w:val="0"/>
        <w:color w:val="1C6CB4"/>
        <w:sz w:val="24"/>
        <w:szCs w:val="24"/>
        <w:u w:val="none" w:color="000000"/>
        <w:bdr w:val="none" w:sz="0" w:space="0" w:color="auto"/>
        <w:shd w:val="clear" w:color="auto" w:fill="auto"/>
        <w:vertAlign w:val="baseline"/>
      </w:rPr>
    </w:lvl>
    <w:lvl w:ilvl="7" w:tplc="8E6AFFA6">
      <w:start w:val="1"/>
      <w:numFmt w:val="bullet"/>
      <w:lvlText w:val="o"/>
      <w:lvlJc w:val="left"/>
      <w:pPr>
        <w:ind w:left="5957"/>
      </w:pPr>
      <w:rPr>
        <w:rFonts w:ascii="Segoe UI Symbol" w:eastAsia="Segoe UI Symbol" w:hAnsi="Segoe UI Symbol" w:cs="Segoe UI Symbol"/>
        <w:b w:val="0"/>
        <w:i w:val="0"/>
        <w:strike w:val="0"/>
        <w:dstrike w:val="0"/>
        <w:color w:val="1C6CB4"/>
        <w:sz w:val="24"/>
        <w:szCs w:val="24"/>
        <w:u w:val="none" w:color="000000"/>
        <w:bdr w:val="none" w:sz="0" w:space="0" w:color="auto"/>
        <w:shd w:val="clear" w:color="auto" w:fill="auto"/>
        <w:vertAlign w:val="baseline"/>
      </w:rPr>
    </w:lvl>
    <w:lvl w:ilvl="8" w:tplc="36DAB26C">
      <w:start w:val="1"/>
      <w:numFmt w:val="bullet"/>
      <w:lvlText w:val="▪"/>
      <w:lvlJc w:val="left"/>
      <w:pPr>
        <w:ind w:left="6677"/>
      </w:pPr>
      <w:rPr>
        <w:rFonts w:ascii="Segoe UI Symbol" w:eastAsia="Segoe UI Symbol" w:hAnsi="Segoe UI Symbol" w:cs="Segoe UI Symbol"/>
        <w:b w:val="0"/>
        <w:i w:val="0"/>
        <w:strike w:val="0"/>
        <w:dstrike w:val="0"/>
        <w:color w:val="1C6CB4"/>
        <w:sz w:val="24"/>
        <w:szCs w:val="24"/>
        <w:u w:val="none" w:color="000000"/>
        <w:bdr w:val="none" w:sz="0" w:space="0" w:color="auto"/>
        <w:shd w:val="clear" w:color="auto" w:fill="auto"/>
        <w:vertAlign w:val="baseline"/>
      </w:rPr>
    </w:lvl>
  </w:abstractNum>
  <w:abstractNum w:abstractNumId="2" w15:restartNumberingAfterBreak="0">
    <w:nsid w:val="1EC94E1B"/>
    <w:multiLevelType w:val="hybridMultilevel"/>
    <w:tmpl w:val="85E2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93A0F"/>
    <w:multiLevelType w:val="hybridMultilevel"/>
    <w:tmpl w:val="393AA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B972818"/>
    <w:multiLevelType w:val="hybridMultilevel"/>
    <w:tmpl w:val="7CDC8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B05E57"/>
    <w:multiLevelType w:val="hybridMultilevel"/>
    <w:tmpl w:val="F6747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989754">
    <w:abstractNumId w:val="4"/>
  </w:num>
  <w:num w:numId="2" w16cid:durableId="1310942854">
    <w:abstractNumId w:val="5"/>
  </w:num>
  <w:num w:numId="3" w16cid:durableId="1681079710">
    <w:abstractNumId w:val="0"/>
  </w:num>
  <w:num w:numId="4" w16cid:durableId="923614653">
    <w:abstractNumId w:val="3"/>
  </w:num>
  <w:num w:numId="5" w16cid:durableId="2110617119">
    <w:abstractNumId w:val="1"/>
  </w:num>
  <w:num w:numId="6" w16cid:durableId="510413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w45O5/wRXTZOJQFKjSZxh7A6g6xEAa35vjlIgyT2rm2EI1/+gnV4ug3Y3OJy38IYbS8RrbhVsPE/H+VLkzxWiQ==" w:salt="1NWZ8gg1o/0R32GBo6fQ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9E"/>
    <w:rsid w:val="0000024D"/>
    <w:rsid w:val="00101874"/>
    <w:rsid w:val="00150741"/>
    <w:rsid w:val="00155C54"/>
    <w:rsid w:val="001614ED"/>
    <w:rsid w:val="00161E60"/>
    <w:rsid w:val="001A2321"/>
    <w:rsid w:val="001B75BB"/>
    <w:rsid w:val="001C185D"/>
    <w:rsid w:val="001D030D"/>
    <w:rsid w:val="001E0F2E"/>
    <w:rsid w:val="001E4275"/>
    <w:rsid w:val="0020475F"/>
    <w:rsid w:val="002120C5"/>
    <w:rsid w:val="00212D92"/>
    <w:rsid w:val="00215F8A"/>
    <w:rsid w:val="002473E8"/>
    <w:rsid w:val="0025071D"/>
    <w:rsid w:val="002B4612"/>
    <w:rsid w:val="002B78AE"/>
    <w:rsid w:val="002D7A6F"/>
    <w:rsid w:val="002E4267"/>
    <w:rsid w:val="002E753E"/>
    <w:rsid w:val="003033DD"/>
    <w:rsid w:val="00314DDE"/>
    <w:rsid w:val="003E5617"/>
    <w:rsid w:val="0040079E"/>
    <w:rsid w:val="004537A9"/>
    <w:rsid w:val="00453BCC"/>
    <w:rsid w:val="004A327C"/>
    <w:rsid w:val="004C7D1B"/>
    <w:rsid w:val="00506767"/>
    <w:rsid w:val="005156F0"/>
    <w:rsid w:val="0057005E"/>
    <w:rsid w:val="0057338C"/>
    <w:rsid w:val="005A0F4F"/>
    <w:rsid w:val="005B72C7"/>
    <w:rsid w:val="006000AC"/>
    <w:rsid w:val="00662FB0"/>
    <w:rsid w:val="00691DEC"/>
    <w:rsid w:val="006A6822"/>
    <w:rsid w:val="006C5DFE"/>
    <w:rsid w:val="006E0DC1"/>
    <w:rsid w:val="007353A1"/>
    <w:rsid w:val="00766E12"/>
    <w:rsid w:val="007801EC"/>
    <w:rsid w:val="007D1FDD"/>
    <w:rsid w:val="007E72E7"/>
    <w:rsid w:val="007F3B32"/>
    <w:rsid w:val="007F5426"/>
    <w:rsid w:val="0081253C"/>
    <w:rsid w:val="008721A8"/>
    <w:rsid w:val="00893D69"/>
    <w:rsid w:val="008975EA"/>
    <w:rsid w:val="008B30B5"/>
    <w:rsid w:val="008B538B"/>
    <w:rsid w:val="008D21D1"/>
    <w:rsid w:val="008E3279"/>
    <w:rsid w:val="009117C0"/>
    <w:rsid w:val="009222E6"/>
    <w:rsid w:val="00940974"/>
    <w:rsid w:val="00962D61"/>
    <w:rsid w:val="00965516"/>
    <w:rsid w:val="0096799C"/>
    <w:rsid w:val="00972864"/>
    <w:rsid w:val="009768F3"/>
    <w:rsid w:val="00987971"/>
    <w:rsid w:val="009C428D"/>
    <w:rsid w:val="009D458E"/>
    <w:rsid w:val="00A20EC7"/>
    <w:rsid w:val="00A45DDF"/>
    <w:rsid w:val="00A627FF"/>
    <w:rsid w:val="00A91330"/>
    <w:rsid w:val="00AF3C7F"/>
    <w:rsid w:val="00B20DB1"/>
    <w:rsid w:val="00B26CDE"/>
    <w:rsid w:val="00B53929"/>
    <w:rsid w:val="00B64556"/>
    <w:rsid w:val="00BC7E04"/>
    <w:rsid w:val="00CB0FCF"/>
    <w:rsid w:val="00CD4B44"/>
    <w:rsid w:val="00CD5DB6"/>
    <w:rsid w:val="00D0365B"/>
    <w:rsid w:val="00D61481"/>
    <w:rsid w:val="00E232FF"/>
    <w:rsid w:val="00E25AB1"/>
    <w:rsid w:val="00E66BFD"/>
    <w:rsid w:val="00E90BCB"/>
    <w:rsid w:val="00F63047"/>
    <w:rsid w:val="00F8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6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38C"/>
    <w:pPr>
      <w:tabs>
        <w:tab w:val="center" w:pos="4513"/>
        <w:tab w:val="right" w:pos="9026"/>
      </w:tabs>
    </w:pPr>
  </w:style>
  <w:style w:type="character" w:customStyle="1" w:styleId="HeaderChar">
    <w:name w:val="Header Char"/>
    <w:basedOn w:val="DefaultParagraphFont"/>
    <w:link w:val="Header"/>
    <w:uiPriority w:val="99"/>
    <w:rsid w:val="0057338C"/>
  </w:style>
  <w:style w:type="paragraph" w:styleId="Footer">
    <w:name w:val="footer"/>
    <w:basedOn w:val="Normal"/>
    <w:link w:val="FooterChar"/>
    <w:uiPriority w:val="99"/>
    <w:unhideWhenUsed/>
    <w:rsid w:val="0057338C"/>
    <w:pPr>
      <w:tabs>
        <w:tab w:val="center" w:pos="4513"/>
        <w:tab w:val="right" w:pos="9026"/>
      </w:tabs>
    </w:pPr>
  </w:style>
  <w:style w:type="character" w:customStyle="1" w:styleId="FooterChar">
    <w:name w:val="Footer Char"/>
    <w:basedOn w:val="DefaultParagraphFont"/>
    <w:link w:val="Footer"/>
    <w:uiPriority w:val="99"/>
    <w:rsid w:val="0057338C"/>
  </w:style>
  <w:style w:type="paragraph" w:styleId="ListParagraph">
    <w:name w:val="List Paragraph"/>
    <w:basedOn w:val="Normal"/>
    <w:uiPriority w:val="34"/>
    <w:qFormat/>
    <w:rsid w:val="001E0F2E"/>
    <w:pPr>
      <w:ind w:left="720"/>
      <w:contextualSpacing/>
    </w:pPr>
  </w:style>
  <w:style w:type="table" w:customStyle="1" w:styleId="TableGrid">
    <w:name w:val="TableGrid"/>
    <w:rsid w:val="00A627F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4" ma:contentTypeDescription="Create a new document." ma:contentTypeScope="" ma:versionID="645ea0035bed1cebf7b1fa5e02dd661a">
  <xsd:schema xmlns:xsd="http://www.w3.org/2001/XMLSchema" xmlns:xs="http://www.w3.org/2001/XMLSchema" xmlns:p="http://schemas.microsoft.com/office/2006/metadata/properties" xmlns:ns1="http://schemas.microsoft.com/sharepoint/v3" xmlns:ns2="d4a3bdf5-4daf-4fdd-98bb-3d605b58f822" xmlns:ns3="ad541163-cd74-4f1b-bfd4-993ad071712c" targetNamespace="http://schemas.microsoft.com/office/2006/metadata/properties" ma:root="true" ma:fieldsID="0a822d7d6fe015de745a021f29750308" ns1:_="" ns2:_="" ns3:_="">
    <xsd:import namespace="http://schemas.microsoft.com/sharepoint/v3"/>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a3bdf5-4daf-4fdd-98bb-3d605b58f822">
      <Terms xmlns="http://schemas.microsoft.com/office/infopath/2007/PartnerControls"/>
    </lcf76f155ced4ddcb4097134ff3c332f>
    <TaxCatchAll xmlns="ad541163-cd74-4f1b-bfd4-993ad071712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09144C-355E-4B5D-A61F-34E59A597D7A}"/>
</file>

<file path=customXml/itemProps2.xml><?xml version="1.0" encoding="utf-8"?>
<ds:datastoreItem xmlns:ds="http://schemas.openxmlformats.org/officeDocument/2006/customXml" ds:itemID="{F321C122-6EE9-4074-8B68-2F740AE4ED99}"/>
</file>

<file path=customXml/itemProps3.xml><?xml version="1.0" encoding="utf-8"?>
<ds:datastoreItem xmlns:ds="http://schemas.openxmlformats.org/officeDocument/2006/customXml" ds:itemID="{200670CF-5FB3-400A-8D3D-FC8284BA2D6C}"/>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3550</Words>
  <Characters>20235</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2025-07-09T19:40:00Z</dcterms:created>
  <dcterms:modified xsi:type="dcterms:W3CDTF">2025-07-09T19:40:00Z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0x010100B687E11AAAC79F42AA011413B6340A7A</vt:lpwstr>
  </property>
</Properties>
</file>